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仿宋_GBK" w:hAnsi="方正仿宋_GBK" w:eastAsia="方正仿宋_GBK" w:cs="方正仿宋_GBK"/>
          <w:b/>
          <w:bCs/>
          <w:sz w:val="24"/>
          <w:szCs w:val="24"/>
          <w:lang w:val="en-US" w:eastAsia="zh-CN"/>
        </w:rPr>
      </w:pPr>
      <w:bookmarkStart w:id="0" w:name="_GoBack"/>
      <w:bookmarkEnd w:id="0"/>
      <w:r>
        <w:rPr>
          <w:rFonts w:hint="eastAsia" w:ascii="方正仿宋_GBK" w:hAnsi="方正仿宋_GBK" w:eastAsia="方正仿宋_GBK" w:cs="方正仿宋_GBK"/>
          <w:b/>
          <w:bCs/>
          <w:sz w:val="24"/>
          <w:szCs w:val="24"/>
          <w:lang w:eastAsia="zh-CN"/>
        </w:rPr>
        <w:t>附件</w:t>
      </w:r>
      <w:r>
        <w:rPr>
          <w:rFonts w:hint="eastAsia" w:ascii="方正仿宋_GBK" w:hAnsi="方正仿宋_GBK" w:eastAsia="方正仿宋_GBK" w:cs="方正仿宋_GBK"/>
          <w:b/>
          <w:bCs/>
          <w:sz w:val="24"/>
          <w:szCs w:val="24"/>
          <w:lang w:val="en-US" w:eastAsia="zh-CN"/>
        </w:rPr>
        <w:t>1</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pPr>
      <w:r>
        <w:rPr>
          <w:rFonts w:hint="eastAsia" w:ascii="方正小标宋_GBK" w:hAnsi="方正小标宋_GBK" w:eastAsia="方正小标宋_GBK" w:cs="方正小标宋_GBK"/>
          <w:b/>
          <w:bCs/>
          <w:sz w:val="32"/>
          <w:szCs w:val="32"/>
          <w:lang w:eastAsia="zh-CN"/>
        </w:rPr>
        <w:t>广州市市级部门联合抽查事项清单（第三版）</w:t>
      </w:r>
    </w:p>
    <w:tbl>
      <w:tblPr>
        <w:tblStyle w:val="7"/>
        <w:tblW w:w="15568" w:type="dxa"/>
        <w:tblInd w:w="-6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1392"/>
        <w:gridCol w:w="720"/>
        <w:gridCol w:w="2336"/>
        <w:gridCol w:w="672"/>
        <w:gridCol w:w="1008"/>
        <w:gridCol w:w="2032"/>
        <w:gridCol w:w="3744"/>
        <w:gridCol w:w="104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544"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序号</w:t>
            </w:r>
          </w:p>
        </w:tc>
        <w:tc>
          <w:tcPr>
            <w:tcW w:w="1392"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联合抽查事项</w:t>
            </w:r>
          </w:p>
        </w:tc>
        <w:tc>
          <w:tcPr>
            <w:tcW w:w="720" w:type="dxa"/>
            <w:vAlign w:val="center"/>
          </w:tcPr>
          <w:p>
            <w:pPr>
              <w:jc w:val="center"/>
              <w:rPr>
                <w:rFonts w:hint="eastAsia" w:ascii="方正仿宋_GBK" w:hAnsi="方正仿宋_GBK" w:eastAsia="方正仿宋_GBK" w:cs="方正仿宋_GBK"/>
                <w:b/>
                <w:bCs/>
                <w:color w:val="auto"/>
                <w:kern w:val="2"/>
                <w:sz w:val="18"/>
                <w:szCs w:val="18"/>
                <w:vertAlign w:val="baseline"/>
                <w:lang w:val="en-US" w:eastAsia="zh-CN" w:bidi="ar-SA"/>
              </w:rPr>
            </w:pPr>
            <w:r>
              <w:rPr>
                <w:rFonts w:hint="eastAsia" w:ascii="方正仿宋_GBK" w:hAnsi="方正仿宋_GBK" w:eastAsia="方正仿宋_GBK" w:cs="方正仿宋_GBK"/>
                <w:b/>
                <w:bCs/>
                <w:color w:val="auto"/>
                <w:sz w:val="18"/>
                <w:szCs w:val="18"/>
                <w:vertAlign w:val="baseline"/>
                <w:lang w:eastAsia="zh-CN"/>
              </w:rPr>
              <w:t>事项类别</w:t>
            </w:r>
          </w:p>
        </w:tc>
        <w:tc>
          <w:tcPr>
            <w:tcW w:w="2336" w:type="dxa"/>
            <w:vAlign w:val="center"/>
          </w:tcPr>
          <w:p>
            <w:pPr>
              <w:jc w:val="center"/>
              <w:rPr>
                <w:rFonts w:hint="eastAsia" w:ascii="方正仿宋_GBK" w:hAnsi="方正仿宋_GBK" w:eastAsia="方正仿宋_GBK" w:cs="方正仿宋_GBK"/>
                <w:b/>
                <w:bCs/>
                <w:color w:val="auto"/>
                <w:kern w:val="2"/>
                <w:sz w:val="18"/>
                <w:szCs w:val="18"/>
                <w:vertAlign w:val="baseline"/>
                <w:lang w:val="en-US" w:eastAsia="zh-CN" w:bidi="ar-SA"/>
              </w:rPr>
            </w:pPr>
            <w:r>
              <w:rPr>
                <w:rFonts w:hint="eastAsia" w:ascii="方正仿宋_GBK" w:hAnsi="方正仿宋_GBK" w:eastAsia="方正仿宋_GBK" w:cs="方正仿宋_GBK"/>
                <w:b/>
                <w:bCs/>
                <w:color w:val="auto"/>
                <w:sz w:val="18"/>
                <w:szCs w:val="18"/>
                <w:vertAlign w:val="baseline"/>
                <w:lang w:eastAsia="zh-CN"/>
              </w:rPr>
              <w:t>检查对象</w:t>
            </w:r>
          </w:p>
        </w:tc>
        <w:tc>
          <w:tcPr>
            <w:tcW w:w="672"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检查方式</w:t>
            </w:r>
          </w:p>
        </w:tc>
        <w:tc>
          <w:tcPr>
            <w:tcW w:w="1008"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联查牵头部门</w:t>
            </w:r>
          </w:p>
        </w:tc>
        <w:tc>
          <w:tcPr>
            <w:tcW w:w="2032"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牵头部门</w:t>
            </w:r>
          </w:p>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检查事项（内容）</w:t>
            </w:r>
          </w:p>
        </w:tc>
        <w:tc>
          <w:tcPr>
            <w:tcW w:w="3744"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检查依据</w:t>
            </w:r>
          </w:p>
        </w:tc>
        <w:tc>
          <w:tcPr>
            <w:tcW w:w="1040" w:type="dxa"/>
            <w:vAlign w:val="center"/>
          </w:tcPr>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联查参与部门</w:t>
            </w:r>
          </w:p>
        </w:tc>
        <w:tc>
          <w:tcPr>
            <w:tcW w:w="2080" w:type="dxa"/>
            <w:vAlign w:val="center"/>
          </w:tcPr>
          <w:p>
            <w:pPr>
              <w:jc w:val="center"/>
              <w:rPr>
                <w:rFonts w:hint="eastAsia" w:ascii="方正仿宋_GBK" w:hAnsi="方正仿宋_GBK" w:eastAsia="方正仿宋_GBK" w:cs="方正仿宋_GBK"/>
                <w:b/>
                <w:bCs/>
                <w:sz w:val="18"/>
                <w:szCs w:val="18"/>
                <w:vertAlign w:val="baseline"/>
                <w:lang w:eastAsia="zh-CN"/>
              </w:rPr>
            </w:pPr>
            <w:r>
              <w:rPr>
                <w:rFonts w:hint="eastAsia" w:ascii="方正仿宋_GBK" w:hAnsi="方正仿宋_GBK" w:eastAsia="方正仿宋_GBK" w:cs="方正仿宋_GBK"/>
                <w:b/>
                <w:bCs/>
                <w:sz w:val="18"/>
                <w:szCs w:val="18"/>
                <w:vertAlign w:val="baseline"/>
                <w:lang w:eastAsia="zh-CN"/>
              </w:rPr>
              <w:t>参与部门</w:t>
            </w:r>
          </w:p>
          <w:p>
            <w:pPr>
              <w:jc w:val="center"/>
              <w:rPr>
                <w:rFonts w:hint="eastAsia" w:ascii="方正仿宋_GBK" w:hAnsi="方正仿宋_GBK" w:eastAsia="方正仿宋_GBK" w:cs="方正仿宋_GBK"/>
                <w:b/>
                <w:bCs/>
                <w:kern w:val="2"/>
                <w:sz w:val="18"/>
                <w:szCs w:val="18"/>
                <w:vertAlign w:val="baseline"/>
                <w:lang w:val="en-US" w:eastAsia="zh-CN" w:bidi="ar-SA"/>
              </w:rPr>
            </w:pPr>
            <w:r>
              <w:rPr>
                <w:rFonts w:hint="eastAsia" w:ascii="方正仿宋_GBK" w:hAnsi="方正仿宋_GBK" w:eastAsia="方正仿宋_GBK" w:cs="方正仿宋_GBK"/>
                <w:b/>
                <w:bCs/>
                <w:sz w:val="18"/>
                <w:szCs w:val="18"/>
                <w:vertAlign w:val="baseline"/>
                <w:lang w:eastAsia="zh-CN"/>
              </w:rPr>
              <w:t>检查事项</w:t>
            </w:r>
            <w:r>
              <w:rPr>
                <w:rFonts w:hint="eastAsia" w:ascii="方正仿宋_GBK" w:hAnsi="方正仿宋_GBK" w:eastAsia="方正仿宋_GBK" w:cs="方正仿宋_GBK"/>
                <w:b/>
                <w:bCs/>
                <w:sz w:val="18"/>
                <w:szCs w:val="18"/>
                <w:vertAlign w:val="baseline"/>
                <w:lang w:val="en-US" w:eastAsia="zh-CN"/>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企业年度报告抽查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企业</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实地检查、书面检查、网络监测</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登记事项、公示信息检查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beforeLines="0" w:afterLines="0" w:line="240" w:lineRule="auto"/>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《中华人民共和国市场主体登记管理条例》（</w:t>
            </w:r>
            <w:r>
              <w:rPr>
                <w:rFonts w:hint="eastAsia" w:ascii="方正仿宋_GBK" w:hAnsi="方正仿宋_GBK" w:eastAsia="方正仿宋_GBK" w:cs="方正仿宋_GBK"/>
                <w:color w:val="auto"/>
                <w:sz w:val="18"/>
                <w:szCs w:val="18"/>
                <w:vertAlign w:val="baseline"/>
                <w:lang w:val="en-US" w:eastAsia="zh-CN"/>
              </w:rPr>
              <w:t>2022年施行</w:t>
            </w:r>
            <w:r>
              <w:rPr>
                <w:rFonts w:hint="eastAsia" w:ascii="方正仿宋_GBK" w:hAnsi="方正仿宋_GBK" w:eastAsia="方正仿宋_GBK" w:cs="方正仿宋_GBK"/>
                <w:color w:val="auto"/>
                <w:sz w:val="18"/>
                <w:szCs w:val="18"/>
                <w:vertAlign w:val="baseline"/>
                <w:lang w:eastAsia="zh-CN"/>
              </w:rPr>
              <w:t>）、《中华人民共和国市场主体登记管理条例实施细则》（</w:t>
            </w:r>
            <w:r>
              <w:rPr>
                <w:rFonts w:hint="eastAsia" w:ascii="方正仿宋_GBK" w:hAnsi="方正仿宋_GBK" w:eastAsia="方正仿宋_GBK" w:cs="方正仿宋_GBK"/>
                <w:color w:val="auto"/>
                <w:sz w:val="18"/>
                <w:szCs w:val="18"/>
                <w:vertAlign w:val="baseline"/>
                <w:lang w:val="en-US" w:eastAsia="zh-CN"/>
              </w:rPr>
              <w:t>2022年施行</w:t>
            </w:r>
            <w:r>
              <w:rPr>
                <w:rFonts w:hint="eastAsia" w:ascii="方正仿宋_GBK" w:hAnsi="方正仿宋_GBK" w:eastAsia="方正仿宋_GBK" w:cs="方正仿宋_GBK"/>
                <w:color w:val="auto"/>
                <w:sz w:val="18"/>
                <w:szCs w:val="18"/>
                <w:vertAlign w:val="baseline"/>
                <w:lang w:eastAsia="zh-CN"/>
              </w:rPr>
              <w:t>）、《中华人民共和国公司法》（2018年修正）、《中华人民共和国个人独资企业法》（2000年实施）、《中华人民共和国合伙企业法》（2006年修订）、《中华人民共和国电子商务法》（2019年施行）、《外国企业常驻代表机构登记管理条例》（2013年修订）、《外商投资合伙企业登记管理规定》（2014年修订）、《企业名称登记管理规定》（2012年修订）、《外商投资合伙企业登记管理规定》（2014年修订）、</w:t>
            </w:r>
            <w:r>
              <w:rPr>
                <w:rFonts w:hint="eastAsia" w:ascii="方正仿宋_GBK" w:hAnsi="方正仿宋_GBK" w:eastAsia="方正仿宋_GBK" w:cs="方正仿宋_GBK"/>
                <w:b w:val="0"/>
                <w:bCs w:val="0"/>
                <w:color w:val="auto"/>
                <w:sz w:val="18"/>
                <w:szCs w:val="18"/>
              </w:rPr>
              <w:t>《企业信息公示暂行条例》（2014年施行）</w:t>
            </w:r>
            <w:r>
              <w:rPr>
                <w:rFonts w:hint="eastAsia" w:ascii="方正仿宋_GBK" w:hAnsi="方正仿宋_GBK" w:eastAsia="方正仿宋_GBK" w:cs="方正仿宋_GBK"/>
                <w:b w:val="0"/>
                <w:bCs w:val="0"/>
                <w:color w:val="auto"/>
                <w:sz w:val="18"/>
                <w:szCs w:val="18"/>
                <w:lang w:eastAsia="zh-CN"/>
              </w:rPr>
              <w:t>、</w:t>
            </w:r>
            <w:r>
              <w:rPr>
                <w:rFonts w:hint="eastAsia" w:ascii="方正仿宋_GBK" w:hAnsi="方正仿宋_GBK" w:eastAsia="方正仿宋_GBK" w:cs="方正仿宋_GBK"/>
                <w:b w:val="0"/>
                <w:bCs w:val="0"/>
                <w:color w:val="auto"/>
                <w:sz w:val="18"/>
                <w:szCs w:val="18"/>
              </w:rPr>
              <w:t>《企业公示信息抽查暂行办法》（2014年施行）</w:t>
            </w:r>
            <w:r>
              <w:rPr>
                <w:rFonts w:hint="eastAsia" w:ascii="方正仿宋_GBK" w:hAnsi="方正仿宋_GBK" w:eastAsia="方正仿宋_GBK" w:cs="方正仿宋_GBK"/>
                <w:b w:val="0"/>
                <w:bCs w:val="0"/>
                <w:color w:val="auto"/>
                <w:sz w:val="18"/>
                <w:szCs w:val="18"/>
                <w:lang w:eastAsia="zh-CN"/>
              </w:rPr>
              <w:t>、</w:t>
            </w:r>
            <w:r>
              <w:rPr>
                <w:rFonts w:hint="eastAsia" w:ascii="方正仿宋_GBK" w:hAnsi="方正仿宋_GBK" w:eastAsia="方正仿宋_GBK" w:cs="方正仿宋_GBK"/>
                <w:b w:val="0"/>
                <w:bCs w:val="0"/>
                <w:color w:val="auto"/>
                <w:sz w:val="18"/>
                <w:szCs w:val="18"/>
              </w:rPr>
              <w:t>《企业经营异常名录管理暂行办法》（2014年施行）</w:t>
            </w:r>
            <w:r>
              <w:rPr>
                <w:rFonts w:hint="eastAsia" w:ascii="方正仿宋_GBK" w:hAnsi="方正仿宋_GBK" w:eastAsia="方正仿宋_GBK" w:cs="方正仿宋_GBK"/>
                <w:b w:val="0"/>
                <w:bCs w:val="0"/>
                <w:color w:val="auto"/>
                <w:sz w:val="18"/>
                <w:szCs w:val="18"/>
                <w:lang w:eastAsia="zh-CN"/>
              </w:rPr>
              <w:t>、《</w:t>
            </w:r>
            <w:r>
              <w:rPr>
                <w:rFonts w:hint="eastAsia" w:ascii="方正仿宋_GBK" w:hAnsi="方正仿宋_GBK" w:eastAsia="方正仿宋_GBK" w:cs="方正仿宋_GBK"/>
                <w:color w:val="auto"/>
                <w:sz w:val="18"/>
                <w:szCs w:val="18"/>
                <w:vertAlign w:val="baseline"/>
                <w:lang w:eastAsia="zh-CN"/>
              </w:rPr>
              <w:t>市场监管总局 商务部 外汇局关于做好年报“多报合一”改革有关工作的通知</w:t>
            </w:r>
            <w:r>
              <w:rPr>
                <w:rFonts w:hint="eastAsia" w:ascii="方正仿宋_GBK" w:hAnsi="方正仿宋_GBK" w:eastAsia="方正仿宋_GBK" w:cs="方正仿宋_GBK"/>
                <w:b w:val="0"/>
                <w:bCs w:val="0"/>
                <w:color w:val="auto"/>
                <w:sz w:val="18"/>
                <w:szCs w:val="18"/>
                <w:lang w:eastAsia="zh-CN"/>
              </w:rPr>
              <w:t>》</w:t>
            </w:r>
            <w:r>
              <w:rPr>
                <w:rFonts w:hint="eastAsia" w:ascii="方正仿宋_GBK" w:hAnsi="方正仿宋_GBK" w:eastAsia="方正仿宋_GBK" w:cs="方正仿宋_GBK"/>
                <w:color w:val="auto"/>
                <w:sz w:val="18"/>
                <w:szCs w:val="18"/>
                <w:vertAlign w:val="baseline"/>
                <w:lang w:eastAsia="zh-CN"/>
              </w:rPr>
              <w:t>（国市监信〔2019〕238号）</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对年度报告（社保事项）的检查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72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374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市商务局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对年度报告（商务部门年报事项）的检查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6"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720"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3744"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ascii="方正仿宋_GBK" w:hAnsi="方正仿宋_GBK" w:eastAsia="方正仿宋_GBK" w:cs="方正仿宋_GBK"/>
                <w:color w:val="auto"/>
                <w:sz w:val="18"/>
                <w:szCs w:val="18"/>
              </w:rPr>
              <w:t>对年度报告（纳税事项）的检查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机动车销售企业监管</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机动车销售企业</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市市场监管局</w:t>
            </w: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对机动车获得强制性产品认证情况检查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《强制性产品认证管理规定》</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机动车环保信息公开检查；机动车大气污染物排放状况监督检查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机动车排放检验机构检测情况抽查</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机动车检验机构</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机动车排放检验情况和设备使用情况检查</w:t>
            </w:r>
            <w:r>
              <w:rPr>
                <w:rFonts w:hint="eastAsia" w:ascii="方正仿宋_GBK" w:hAnsi="方正仿宋_GBK" w:eastAsia="方正仿宋_GBK" w:cs="方正仿宋_GBK"/>
                <w:color w:val="auto"/>
                <w:kern w:val="0"/>
                <w:sz w:val="18"/>
                <w:szCs w:val="18"/>
                <w:lang w:eastAsia="zh-CN" w:bidi="ar"/>
              </w:rPr>
              <w:t>；对机构的基本条件和技术能力进行检查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《检验检测机构资质认定管理办法》、《检验检测机构监督管理办法》</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对从事机动车排放检验机构的排放检验情况进行监督检查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常压液体危险货物罐车生产企业取得许可证情况检查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常压液体危险货物罐车生产企业</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对常压液体危险货物槽罐车生产企业的常压液体危险货物槽罐是否取得工业产品生产许可证进行检查</w:t>
            </w:r>
          </w:p>
        </w:tc>
        <w:tc>
          <w:tcPr>
            <w:tcW w:w="3744" w:type="dxa"/>
            <w:vAlign w:val="center"/>
          </w:tcPr>
          <w:p>
            <w:pPr>
              <w:pStyle w:val="9"/>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《中华人民共和国工业产品生产许可证管理条例》第三十六条、三十八条、三十九条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《中华人民共和国工业产品生产许可证管理条例实施办法》第四十三条、第四十六条、第四十七条、第四十八条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对危险货物道路运输企业的监督检查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常压液体危险货物罐体检验机构检查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常压液体危险货物罐体检验机构</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检验检测机构检查</w:t>
            </w:r>
          </w:p>
        </w:tc>
        <w:tc>
          <w:tcPr>
            <w:tcW w:w="3744"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 xml:space="preserve">《中华人民共和国计量法》第二十二条 </w:t>
            </w:r>
            <w:r>
              <w:rPr>
                <w:rFonts w:hint="eastAsia" w:ascii="方正仿宋_GBK" w:hAnsi="方正仿宋_GBK" w:eastAsia="方正仿宋_GBK" w:cs="方正仿宋_GBK"/>
                <w:color w:val="auto"/>
                <w:sz w:val="18"/>
                <w:szCs w:val="18"/>
                <w:lang w:eastAsia="zh-CN"/>
              </w:rPr>
              <w:t>、</w:t>
            </w:r>
            <w:r>
              <w:rPr>
                <w:rFonts w:hint="eastAsia" w:ascii="方正仿宋_GBK" w:hAnsi="方正仿宋_GBK" w:eastAsia="方正仿宋_GBK" w:cs="方正仿宋_GBK"/>
                <w:color w:val="auto"/>
                <w:sz w:val="18"/>
                <w:szCs w:val="18"/>
              </w:rPr>
              <w:t>《中华人民共和国产品质量法》第十九条 、第五十七条</w:t>
            </w:r>
            <w:r>
              <w:rPr>
                <w:rFonts w:hint="eastAsia" w:ascii="方正仿宋_GBK" w:hAnsi="方正仿宋_GBK" w:eastAsia="方正仿宋_GBK" w:cs="方正仿宋_GBK"/>
                <w:color w:val="auto"/>
                <w:sz w:val="18"/>
                <w:szCs w:val="18"/>
                <w:lang w:eastAsia="zh-CN"/>
              </w:rPr>
              <w:t>、</w:t>
            </w:r>
            <w:r>
              <w:rPr>
                <w:rFonts w:hint="eastAsia" w:ascii="方正仿宋_GBK" w:hAnsi="方正仿宋_GBK" w:eastAsia="方正仿宋_GBK" w:cs="方正仿宋_GBK"/>
                <w:color w:val="auto"/>
                <w:sz w:val="18"/>
                <w:szCs w:val="18"/>
              </w:rPr>
              <w:t>《中华人民共和国认证认可条例》第十五条 、第五十一条</w:t>
            </w:r>
            <w:r>
              <w:rPr>
                <w:rFonts w:hint="eastAsia" w:ascii="方正仿宋_GBK" w:hAnsi="方正仿宋_GBK" w:eastAsia="方正仿宋_GBK" w:cs="方正仿宋_GBK"/>
                <w:color w:val="auto"/>
                <w:sz w:val="18"/>
                <w:szCs w:val="18"/>
                <w:lang w:eastAsia="zh-CN"/>
              </w:rPr>
              <w:t>、</w:t>
            </w:r>
            <w:r>
              <w:rPr>
                <w:rFonts w:hint="eastAsia" w:ascii="方正仿宋_GBK" w:hAnsi="方正仿宋_GBK" w:eastAsia="方正仿宋_GBK" w:cs="方正仿宋_GBK"/>
                <w:color w:val="auto"/>
                <w:sz w:val="18"/>
                <w:szCs w:val="18"/>
              </w:rPr>
              <w:t>《检验检测机构监督管理办法》（2021年6月1日实施）第四条、第十七条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对危险货物道路运输企业的监督检查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级储备粮管理情况检查</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级储备粮承储企业</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市发展改革委</w:t>
            </w:r>
          </w:p>
        </w:tc>
        <w:tc>
          <w:tcPr>
            <w:tcW w:w="203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级储备粮库存数量、质量和储存安全</w:t>
            </w:r>
          </w:p>
        </w:tc>
        <w:tc>
          <w:tcPr>
            <w:tcW w:w="374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《粮食流通管理条例》</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市财政局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市</w:t>
            </w:r>
            <w:r>
              <w:rPr>
                <w:rFonts w:hint="eastAsia" w:ascii="方正仿宋_GBK" w:hAnsi="方正仿宋_GBK" w:eastAsia="方正仿宋_GBK" w:cs="方正仿宋_GBK"/>
                <w:color w:val="auto"/>
                <w:kern w:val="0"/>
                <w:sz w:val="18"/>
                <w:szCs w:val="18"/>
                <w:lang w:bidi="ar"/>
              </w:rPr>
              <w:t>级储备粮财政执行情况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学校食堂食品安全情况的检查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市教育局</w:t>
            </w: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对学校建立健全食品安全与营养健康相关管理制度；落实安全风险防控职责；加强食品安全教育和日常管理，推进健康教育；积极协助相关部门开展食品安全和营养健康工作等检查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《食品安全法》第一百一十条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2"/>
                <w:sz w:val="18"/>
                <w:szCs w:val="18"/>
                <w:lang w:val="en-US" w:eastAsia="zh-CN" w:bidi="ar-SA"/>
              </w:rPr>
              <w:t>餐饮服务食品安全监督检查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544" w:type="dxa"/>
            <w:vMerge w:val="continue"/>
            <w:vAlign w:val="center"/>
          </w:tcPr>
          <w:p>
            <w:pPr>
              <w:keepNext w:val="0"/>
              <w:keepLines w:val="0"/>
              <w:pageBreakBefore w:val="0"/>
              <w:widowControl w:val="0"/>
              <w:tabs>
                <w:tab w:val="left" w:pos="420"/>
              </w:tabs>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snapToGrid w:val="0"/>
                <w:color w:val="auto"/>
                <w:kern w:val="0"/>
                <w:sz w:val="21"/>
                <w:szCs w:val="21"/>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snapToGrid w:val="0"/>
                <w:color w:val="auto"/>
                <w:kern w:val="0"/>
                <w:sz w:val="21"/>
                <w:szCs w:val="21"/>
              </w:rPr>
            </w:pPr>
          </w:p>
        </w:tc>
        <w:tc>
          <w:tcPr>
            <w:tcW w:w="672"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1008"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snapToGrid w:val="0"/>
                <w:color w:val="auto"/>
                <w:kern w:val="0"/>
                <w:sz w:val="21"/>
                <w:szCs w:val="21"/>
              </w:rPr>
            </w:pPr>
          </w:p>
        </w:tc>
        <w:tc>
          <w:tcPr>
            <w:tcW w:w="3744"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snapToGrid w:val="0"/>
                <w:color w:val="auto"/>
                <w:kern w:val="0"/>
                <w:sz w:val="18"/>
                <w:szCs w:val="18"/>
              </w:rPr>
              <w:t>饮用水安全检查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2"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对校车安全的检查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snapToGrid w:val="0"/>
                <w:color w:val="auto"/>
                <w:kern w:val="0"/>
                <w:sz w:val="18"/>
                <w:szCs w:val="18"/>
              </w:rPr>
              <w:t>检查使用校车学校落实《校车安全管理条例》情况</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vertAlign w:val="baseline"/>
                <w:lang w:eastAsia="zh-CN"/>
              </w:rPr>
              <w:t>广东省实施《校车安全管理条例》办法</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对校车和校车驾驶员是否获得许可，对校车“三超一疲劳”情况、是否按审核路线行驶、校车违章是否按时“清零”、是否按时完成车辆年检、校车行驶路线是滞符合有关通行条件等问题进行检查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snapToGrid w:val="0"/>
                <w:color w:val="auto"/>
                <w:kern w:val="0"/>
                <w:sz w:val="18"/>
                <w:szCs w:val="18"/>
              </w:rPr>
              <w:t>检查提供校车服务的客运企业落实《校车安全管理条例》情况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4"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中小学教育装备产品检查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市教育局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中小学教育装备产品（含文体教育用品、教学仪器、校服等）检查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中小学教育装备产品国家标准、行业标准、技术规范等:《教育部关于加强和改进中小学实验教学的意见》、《中小学实验室规程》，中小学实验室设施设备相关国家标准、行业标准、技术规范等:《中小学图书馆(室)规程》、《中小学图书馆图书审查清理标准(试行)》</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对购进的中小学教育装备产品是否标注厂名、厂址、执行标准进行检查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学校招生、办学情况检查</w:t>
            </w:r>
          </w:p>
        </w:tc>
        <w:tc>
          <w:tcPr>
            <w:tcW w:w="72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各类学校</w:t>
            </w:r>
          </w:p>
        </w:tc>
        <w:tc>
          <w:tcPr>
            <w:tcW w:w="67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实地检查、书面检查</w:t>
            </w:r>
          </w:p>
        </w:tc>
        <w:tc>
          <w:tcPr>
            <w:tcW w:w="1008"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民办学校的办学条件、党建工作、队伍建设.教学活动、学籍与资助、财务与后勤安全工作等进行检查;对校外培训机构办学条件进行监督检查，对校外培训机构行政和财务管理进行监督检查;对校外培训机构教学管理进行监督检查:在校生人数是否与学籍系统一致:班额情况;各项时间安排是否合规;落实课后服务情况等检查</w:t>
            </w:r>
          </w:p>
        </w:tc>
        <w:tc>
          <w:tcPr>
            <w:tcW w:w="374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关于实行民办学校年度检查制度的通知（粤政策【</w:t>
            </w:r>
            <w:r>
              <w:rPr>
                <w:rFonts w:hint="eastAsia" w:ascii="方正仿宋_GBK" w:hAnsi="方正仿宋_GBK" w:eastAsia="方正仿宋_GBK" w:cs="方正仿宋_GBK"/>
                <w:color w:val="auto"/>
                <w:sz w:val="18"/>
                <w:szCs w:val="18"/>
                <w:vertAlign w:val="baseline"/>
                <w:lang w:val="en-US" w:eastAsia="zh-CN"/>
              </w:rPr>
              <w:t>2007</w:t>
            </w:r>
            <w:r>
              <w:rPr>
                <w:rFonts w:hint="eastAsia" w:ascii="方正仿宋_GBK" w:hAnsi="方正仿宋_GBK" w:eastAsia="方正仿宋_GBK" w:cs="方正仿宋_GBK"/>
                <w:color w:val="auto"/>
                <w:sz w:val="18"/>
                <w:szCs w:val="18"/>
                <w:vertAlign w:val="baseline"/>
                <w:lang w:eastAsia="zh-CN"/>
              </w:rPr>
              <w:t>】</w:t>
            </w:r>
            <w:r>
              <w:rPr>
                <w:rFonts w:hint="eastAsia" w:ascii="方正仿宋_GBK" w:hAnsi="方正仿宋_GBK" w:eastAsia="方正仿宋_GBK" w:cs="方正仿宋_GBK"/>
                <w:color w:val="auto"/>
                <w:sz w:val="18"/>
                <w:szCs w:val="18"/>
                <w:vertAlign w:val="baseline"/>
                <w:lang w:val="en-US" w:eastAsia="zh-CN"/>
              </w:rPr>
              <w:t>37号</w:t>
            </w:r>
            <w:r>
              <w:rPr>
                <w:rFonts w:hint="eastAsia" w:ascii="方正仿宋_GBK" w:hAnsi="方正仿宋_GBK" w:eastAsia="方正仿宋_GBK" w:cs="方正仿宋_GBK"/>
                <w:color w:val="auto"/>
                <w:sz w:val="18"/>
                <w:szCs w:val="18"/>
                <w:vertAlign w:val="baseline"/>
                <w:lang w:eastAsia="zh-CN"/>
              </w:rPr>
              <w:t>）</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和谐校园建设、安全稳定工作的情况检查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08"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080"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对各类学校教职员工的社会保险缴纳情况的检查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08"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对各类招生广告和宣传及收退费情况进行检查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08"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080" w:type="dxa"/>
            <w:vAlign w:val="top"/>
          </w:tcPr>
          <w:p>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eastAsia="zh-CN"/>
              </w:rPr>
              <w:t>按照《学校卫生工作条例》等法律法规要求，开展学校（不含培训机构）卫生监督检查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08" w:type="dxa"/>
            <w:vMerge w:val="continue"/>
          </w:tcPr>
          <w:p>
            <w:pPr>
              <w:jc w:val="left"/>
              <w:rPr>
                <w:rFonts w:hint="eastAsia" w:ascii="方正仿宋_GBK" w:hAnsi="方正仿宋_GBK" w:eastAsia="方正仿宋_GBK" w:cs="方正仿宋_GBK"/>
                <w:color w:val="auto"/>
                <w:sz w:val="32"/>
                <w:szCs w:val="32"/>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0"/>
                <w:sz w:val="15"/>
                <w:szCs w:val="15"/>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15"/>
                <w:szCs w:val="15"/>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宾馆、旅店监督抽查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宾馆、旅店</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宾馆、旅店治安安全</w:t>
            </w:r>
            <w:r>
              <w:rPr>
                <w:rFonts w:hint="eastAsia" w:ascii="方正仿宋_GBK" w:hAnsi="方正仿宋_GBK" w:eastAsia="方正仿宋_GBK" w:cs="方正仿宋_GBK"/>
                <w:color w:val="auto"/>
                <w:kern w:val="0"/>
                <w:sz w:val="18"/>
                <w:szCs w:val="18"/>
                <w:lang w:eastAsia="zh-CN" w:bidi="ar"/>
              </w:rPr>
              <w:t>及取得许可证检查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《广东省旅馆业治安管理规定》第十七条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对建筑结构安全情况进行检查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宾馆、旅店卫生情况的检查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eastAsia="zh-CN"/>
              </w:rPr>
              <w:t>市文化广电旅游局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en-US" w:eastAsia="zh-CN"/>
              </w:rPr>
              <w:t>星级酒店服务质量督导检查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易制毒化学品从业单位随机抽查</w:t>
            </w:r>
          </w:p>
        </w:tc>
        <w:tc>
          <w:tcPr>
            <w:tcW w:w="72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易制毒化学品从业单位</w:t>
            </w:r>
          </w:p>
        </w:tc>
        <w:tc>
          <w:tcPr>
            <w:tcW w:w="67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对易制毒化学品生产、经营、购买、运输、仓储等情况进行监督检查</w:t>
            </w:r>
          </w:p>
        </w:tc>
        <w:tc>
          <w:tcPr>
            <w:tcW w:w="374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《易制毒化学品购销和运输管理办法》（</w:t>
            </w:r>
            <w:r>
              <w:rPr>
                <w:rFonts w:hint="eastAsia" w:ascii="方正仿宋_GBK" w:hAnsi="方正仿宋_GBK" w:eastAsia="方正仿宋_GBK" w:cs="方正仿宋_GBK"/>
                <w:color w:val="auto"/>
                <w:sz w:val="18"/>
                <w:szCs w:val="18"/>
                <w:vertAlign w:val="baseline"/>
                <w:lang w:val="en-US" w:eastAsia="zh-CN"/>
              </w:rPr>
              <w:t>2006年公安部令第87号</w:t>
            </w:r>
            <w:r>
              <w:rPr>
                <w:rFonts w:hint="eastAsia" w:ascii="方正仿宋_GBK" w:hAnsi="方正仿宋_GBK" w:eastAsia="方正仿宋_GBK" w:cs="方正仿宋_GBK"/>
                <w:color w:val="auto"/>
                <w:sz w:val="18"/>
                <w:szCs w:val="18"/>
                <w:vertAlign w:val="baseline"/>
                <w:lang w:eastAsia="zh-CN"/>
              </w:rPr>
              <w:t>）第二十六条</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对易制毒化学品生产、经营等情况进行监督检查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易制毒化学品运输车辆资质情况检查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720"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67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p>
        </w:tc>
        <w:tc>
          <w:tcPr>
            <w:tcW w:w="3744"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易制毒化学品仓储情况检查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民用枪支经营使用单位抽查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民用枪支经营使用单位</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民用枪支配置使用单位使用枪支情况的检查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《广东省营业性射击场管理规定》、《中华人民共和国枪支管理法》</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经营许可证情况检查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保安行业相关单位抽查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保安行业相关单位</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保安从业单位及其保安服务活动情况的检查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保安培训单位及其培训活动情况的检查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rPr>
              <w:t>保安服务管理条例》第三十六条、《公安机关实施保安服务管理条例办法》第三十五条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爆破作业单位抽查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爆破作业单位</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民用爆破物仓储情况的检查</w:t>
            </w:r>
            <w:r>
              <w:rPr>
                <w:rFonts w:hint="eastAsia" w:ascii="方正仿宋_GBK" w:hAnsi="方正仿宋_GBK" w:eastAsia="方正仿宋_GBK" w:cs="方正仿宋_GBK"/>
                <w:color w:val="auto"/>
                <w:sz w:val="18"/>
                <w:szCs w:val="18"/>
                <w:vertAlign w:val="baseline"/>
                <w:lang w:eastAsia="zh-CN"/>
              </w:rPr>
              <w:t>；</w:t>
            </w:r>
            <w:r>
              <w:rPr>
                <w:rFonts w:hint="eastAsia" w:ascii="方正仿宋_GBK" w:hAnsi="方正仿宋_GBK" w:eastAsia="方正仿宋_GBK" w:cs="方正仿宋_GBK"/>
                <w:color w:val="auto"/>
                <w:sz w:val="18"/>
                <w:szCs w:val="18"/>
                <w:vertAlign w:val="baseline"/>
              </w:rPr>
              <w:t>爆破作业单位有关制度情况的检查</w:t>
            </w:r>
            <w:r>
              <w:rPr>
                <w:rFonts w:hint="eastAsia" w:ascii="方正仿宋_GBK" w:hAnsi="方正仿宋_GBK" w:eastAsia="方正仿宋_GBK" w:cs="方正仿宋_GBK"/>
                <w:color w:val="auto"/>
                <w:sz w:val="18"/>
                <w:szCs w:val="18"/>
                <w:vertAlign w:val="baseline"/>
                <w:lang w:eastAsia="zh-CN"/>
              </w:rPr>
              <w:t>；</w:t>
            </w:r>
            <w:r>
              <w:rPr>
                <w:rFonts w:hint="eastAsia" w:ascii="方正仿宋_GBK" w:hAnsi="方正仿宋_GBK" w:eastAsia="方正仿宋_GBK" w:cs="方正仿宋_GBK"/>
                <w:color w:val="auto"/>
                <w:sz w:val="18"/>
                <w:szCs w:val="18"/>
                <w:vertAlign w:val="baseline"/>
              </w:rPr>
              <w:t>爆破作业单位作业情况的检查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《民用爆炸物品安全管理条例》</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安全生产情况检查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劳务派遣用工检查</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劳务派遣相关单位</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劳务派遣单位资质、经营情况、对被派遣劳动者履行义务情况</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《劳动合同法》、《劳动保障监察条例》、《广东省劳动保障监察条例》、《劳务派遣暂行规定》</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对虚开劳务费增值税发票涉嫌偷税漏税违法情况及征收社会保险费等情况检查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各类用人单位（与劳动者建立劳动关系）工资支付情况检查</w:t>
            </w:r>
          </w:p>
        </w:tc>
        <w:tc>
          <w:tcPr>
            <w:tcW w:w="72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各类用人单位（与劳动者建立劳动关系）</w:t>
            </w:r>
          </w:p>
        </w:tc>
        <w:tc>
          <w:tcPr>
            <w:tcW w:w="67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用人单位按时足额支付劳动者工资情况，政府投资工程项目和国企项目审批监管、资金落实和工程款按期结算情况，工程建设领域落实农民工实名制管理、农民工工资专用账户、银行代发工资、工资保证金等保障工资支付制度情况等相关检查事项</w:t>
            </w:r>
          </w:p>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374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《中华人民共和国劳动合同法》、《保障农民工工资支付条例》、《劳动保障监察条例》、《广东省工资支付条例》、《广东省劳动保障监察条例》</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080" w:type="dxa"/>
            <w:vMerge w:val="restart"/>
            <w:vAlign w:val="center"/>
          </w:tcPr>
          <w:p>
            <w:pPr>
              <w:keepNext w:val="0"/>
              <w:keepLines w:val="0"/>
              <w:pageBreakBefore w:val="0"/>
              <w:widowControl w:val="0"/>
              <w:kinsoku/>
              <w:wordWrap/>
              <w:overflowPunct/>
              <w:topLinePunct w:val="0"/>
              <w:autoSpaceDE/>
              <w:autoSpaceDN/>
              <w:bidi w:val="0"/>
              <w:adjustRightInd/>
              <w:snapToGrid/>
              <w:spacing w:line="28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 xml:space="preserve">履行行业监管责任，对本领域工程建设项目实行农民工实名制管理、农民工工资专用账户管理、施工总承包单位代发工资、工资保证金存储、维权信息公示等情况进行监督检查；规范本领域建设市场秩序，对违法发包、转包、违法分包、挂靠等行为进行查处，督办因违法发包、转包、违法分包、挂靠、拖欠工程款等导致的拖欠农民工工资案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8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4"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市水务局</w:t>
            </w:r>
          </w:p>
        </w:tc>
        <w:tc>
          <w:tcPr>
            <w:tcW w:w="208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清理整顿人力资源市场秩序检查</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广州市内各类经营性人力资源服务机构</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03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各类经营性人力资源服务机构经许可或备案、依法开展人力资源服务业务、发布招聘信息，组织招聘活动的情况</w:t>
            </w:r>
          </w:p>
        </w:tc>
        <w:tc>
          <w:tcPr>
            <w:tcW w:w="374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中华人民共和国就业促进法》、《人力资源市场暂行条例》、《劳动保障监察条例》、《广东省人力资源市场条例》、《广东省劳动保障监察条例》</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登记事项检查和公示信息检查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涉消耗臭氧层物质（ODS）的生产、使用、销售、维修回收、销毁及原料用途等企业和单位的监管</w:t>
            </w:r>
          </w:p>
        </w:tc>
        <w:tc>
          <w:tcPr>
            <w:tcW w:w="72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HCFCs的生产企业和使用企业</w:t>
            </w:r>
          </w:p>
        </w:tc>
        <w:tc>
          <w:tcPr>
            <w:tcW w:w="67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03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消耗臭氧层物质含氢氯氟烃（HCFCs）年度生产配额、使用配额（100吨及以上）和使用备案（100吨以下）情况的检查</w:t>
            </w:r>
          </w:p>
        </w:tc>
        <w:tc>
          <w:tcPr>
            <w:tcW w:w="374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《新化学物质环境管理办法》</w:t>
            </w:r>
            <w:r>
              <w:rPr>
                <w:rFonts w:hint="eastAsia" w:ascii="方正仿宋_GBK" w:hAnsi="方正仿宋_GBK" w:eastAsia="方正仿宋_GBK" w:cs="方正仿宋_GBK"/>
                <w:color w:val="auto"/>
                <w:sz w:val="18"/>
                <w:szCs w:val="18"/>
                <w:vertAlign w:val="baseline"/>
                <w:lang w:val="en-US" w:eastAsia="zh-CN"/>
              </w:rPr>
              <w:t>2010年环保部令7号修订第三十九条</w:t>
            </w:r>
          </w:p>
        </w:tc>
        <w:tc>
          <w:tcPr>
            <w:tcW w:w="104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市市场监管局</w:t>
            </w:r>
          </w:p>
        </w:tc>
        <w:tc>
          <w:tcPr>
            <w:tcW w:w="208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登记事项检查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销售ODS企业和单位</w:t>
            </w: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对销售ODS企业和单位备案情况的检查</w:t>
            </w: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8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1"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含ODS的制冷设备、制冷系统或者灭火系统的维修、报废处理，ODS回收、再生利用或者销毁等经营活动的单位</w:t>
            </w: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对含ODS的制冷设备、制冷系统或者灭火系统的维修、报废处理，ODS回收、再生利用或者销毁等经营活动的单位备案情况的检查</w:t>
            </w: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8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7"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副产四氯化碳（CTC）的甲烷氯化物企业</w:t>
            </w: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Style w:val="11"/>
                <w:rFonts w:hint="eastAsia" w:ascii="方正仿宋_GBK" w:hAnsi="方正仿宋_GBK" w:eastAsia="方正仿宋_GBK" w:cs="方正仿宋_GBK"/>
                <w:color w:val="auto"/>
                <w:sz w:val="18"/>
                <w:szCs w:val="18"/>
                <w:lang w:bidi="ar"/>
              </w:rPr>
              <w:t>副产四氯化碳（CTC）的甲烷氯化物企业合法销售和处置CTC情况的检查</w:t>
            </w: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8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使用ODS作为化工原料用途的企业</w:t>
            </w: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kinsoku/>
              <w:wordWrap/>
              <w:overflowPunct/>
              <w:topLinePunct w:val="0"/>
              <w:autoSpaceDE/>
              <w:autoSpaceDN/>
              <w:bidi w:val="0"/>
              <w:adjustRightInd w:val="0"/>
              <w:snapToGrid w:val="0"/>
              <w:spacing w:line="240" w:lineRule="auto"/>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使用ODS作为化工原料用途的企业的ODS采购和使用情况的检查</w:t>
            </w: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8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生态环境监测机构监督检查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生态环境监测机构</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市生态环境局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对社会环境监测机构从事环境监测活动的规范性检查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eastAsia="zh-CN"/>
              </w:rPr>
              <w:t>《广东省环境保护条例》《广州市生态环境保护条例》</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检验检测机构检查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城镇污水处理设施污染防治情况的检查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城镇污水处理厂</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highlight w:val="none"/>
                <w:lang w:val="en-US" w:eastAsia="zh-CN"/>
              </w:rPr>
            </w:pPr>
            <w:r>
              <w:rPr>
                <w:rFonts w:hint="eastAsia" w:ascii="方正仿宋_GBK" w:hAnsi="方正仿宋_GBK" w:eastAsia="方正仿宋_GBK" w:cs="方正仿宋_GBK"/>
                <w:color w:val="auto"/>
                <w:sz w:val="18"/>
                <w:szCs w:val="18"/>
                <w:highlight w:val="none"/>
                <w:lang w:eastAsia="zh-CN"/>
              </w:rPr>
              <w:t>开展城镇污水处理设施运行情况检查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highlight w:val="none"/>
                <w:lang w:eastAsia="zh-CN"/>
              </w:rPr>
              <w:t>水污染防治法》及</w:t>
            </w:r>
            <w:r>
              <w:rPr>
                <w:rFonts w:hint="eastAsia" w:ascii="方正仿宋_GBK" w:hAnsi="方正仿宋_GBK" w:eastAsia="方正仿宋_GBK" w:cs="方正仿宋_GBK"/>
                <w:color w:val="auto"/>
                <w:sz w:val="18"/>
                <w:szCs w:val="18"/>
                <w:highlight w:val="none"/>
              </w:rPr>
              <w:t>《广州市生态环境保护委员会办公室关于印发广州市2022年水污染防治工作计划的通知》（穗环委办〔2022〕27号）</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市水务局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highlight w:val="none"/>
                <w:lang w:val="en-US" w:eastAsia="zh-CN"/>
              </w:rPr>
            </w:pPr>
            <w:r>
              <w:rPr>
                <w:rFonts w:hint="eastAsia" w:ascii="方正仿宋_GBK" w:hAnsi="方正仿宋_GBK" w:eastAsia="方正仿宋_GBK" w:cs="方正仿宋_GBK"/>
                <w:color w:val="auto"/>
                <w:sz w:val="18"/>
                <w:szCs w:val="18"/>
                <w:highlight w:val="none"/>
                <w:lang w:val="en-US" w:eastAsia="zh-CN"/>
              </w:rPr>
              <w:t>污水处理厂出水水质检查，污泥转运台账检查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机动车、非道路移动机械生产企业监管</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机动车、非道路移动机械生产、进口企业</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机动车生产、进口企业信息公开监督检查；对新生产、销售机动车和非道路移动机械大气污染物排放状况监督检查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大气污染防治法》《广东省大气污染防治条例》《广东省机动车排气污染防治条例》《广东省机动车环保信息公开监督检查指南（试行）》《广东省新车大气污染物排放状况监督检查工作指南（试行）》、广东省人民政府关于将一批省级行政职权事项调整由广州、深圳市实施的决定（粤府令第241号）、广东省人民政府关于将一批省级行政职权事项继续委托广州、深圳市实施的决定（粤府〔2019〕2号）、广东省人民政府关于调整实施一批省级权责清单事项的决定（粤府令270号）</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登记事项、公示信息检查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工程咨询单位抽查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eastAsia="zh-CN" w:bidi="ar"/>
              </w:rPr>
              <w:t>造价咨询企业</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实地检查、书面检查</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对营业执照、执业人员从业资格、工程咨询项目成果文件等情况检查</w:t>
            </w:r>
          </w:p>
        </w:tc>
        <w:tc>
          <w:tcPr>
            <w:tcW w:w="374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《注册造价工程师管理办法》（2007年建设部令第150号）第二十三条；《工程造价咨询企业管理办法》建设部令第149号第二十九条；《广东省建设工程造价管理规定》（2014年粤府令第205号）第三十七条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市发展改革委</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工程咨询项目成果文件检查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房地产检查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商品房预售项目及中介服务机构</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市住房城乡建设局</w:t>
            </w: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商品房预售项目监督检查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城市房地产开发经营管理条例》第三十九条、《商品房销售管理办法》第四十二条、《城市商品房预售管理办法》第十三条、《广东省商品房预售管理条例》第三十六条、第三十九条、《广州市房屋交易监督管理办法》第三十八条、第三十九条、《关于进一步规范商品房销售现场信息公示的通知》</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市教育局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房地产开发企业涉及教育资源广告宣传检查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发布虚假违法广告</w:t>
            </w:r>
            <w:r>
              <w:rPr>
                <w:rFonts w:hint="eastAsia" w:ascii="方正仿宋_GBK" w:hAnsi="方正仿宋_GBK" w:eastAsia="方正仿宋_GBK" w:cs="方正仿宋_GBK"/>
                <w:color w:val="auto"/>
                <w:kern w:val="0"/>
                <w:sz w:val="18"/>
                <w:szCs w:val="18"/>
                <w:lang w:eastAsia="zh-CN" w:bidi="ar"/>
              </w:rPr>
              <w:t>；价格违法行为检查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市</w:t>
            </w:r>
            <w:r>
              <w:rPr>
                <w:rFonts w:hint="eastAsia" w:ascii="方正仿宋_GBK" w:hAnsi="方正仿宋_GBK" w:eastAsia="方正仿宋_GBK" w:cs="方正仿宋_GBK"/>
                <w:color w:val="auto"/>
                <w:kern w:val="0"/>
                <w:sz w:val="18"/>
                <w:szCs w:val="18"/>
                <w:lang w:eastAsia="zh-CN" w:bidi="ar"/>
              </w:rPr>
              <w:t>地方</w:t>
            </w:r>
            <w:r>
              <w:rPr>
                <w:rFonts w:hint="eastAsia" w:ascii="方正仿宋_GBK" w:hAnsi="方正仿宋_GBK" w:eastAsia="方正仿宋_GBK" w:cs="方正仿宋_GBK"/>
                <w:color w:val="auto"/>
                <w:kern w:val="0"/>
                <w:sz w:val="18"/>
                <w:szCs w:val="18"/>
                <w:lang w:bidi="ar"/>
              </w:rPr>
              <w:t>金融</w:t>
            </w:r>
            <w:r>
              <w:rPr>
                <w:rFonts w:hint="eastAsia" w:ascii="方正仿宋_GBK" w:hAnsi="方正仿宋_GBK" w:eastAsia="方正仿宋_GBK" w:cs="方正仿宋_GBK"/>
                <w:color w:val="auto"/>
                <w:kern w:val="0"/>
                <w:sz w:val="18"/>
                <w:szCs w:val="18"/>
                <w:lang w:eastAsia="zh-CN" w:bidi="ar"/>
              </w:rPr>
              <w:t>管理</w:t>
            </w:r>
            <w:r>
              <w:rPr>
                <w:rFonts w:hint="eastAsia" w:ascii="方正仿宋_GBK" w:hAnsi="方正仿宋_GBK" w:eastAsia="方正仿宋_GBK" w:cs="方正仿宋_GBK"/>
                <w:color w:val="auto"/>
                <w:kern w:val="0"/>
                <w:sz w:val="18"/>
                <w:szCs w:val="18"/>
                <w:lang w:bidi="ar"/>
              </w:rPr>
              <w:t>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地方金融组织是否违规参与房地产融资活动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建筑市场检查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建筑市场从业单位</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施工发包与承包违法行为的检查（房建项目）</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中华人民共和国建筑法》第二十二条、第二十四条、第二十六条、第二十八条、第二十九条;《中华人民共和国招标投标法》第四十八条;《建设工程质量管理条例》第七条、第二十五条、第七十八条;《住房和城乡建设部关于印发建筑工程施工发包与承包违法行为认定查处管理办法的通知》（建市规[2019]1号）</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对工人劳动合同签订情况、工资支付情况、工资支付分账管理执行情况、工资保证金制度落实情况检查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园</w:t>
            </w:r>
            <w:r>
              <w:rPr>
                <w:rFonts w:hint="eastAsia" w:ascii="方正仿宋_GBK" w:hAnsi="方正仿宋_GBK" w:eastAsia="方正仿宋_GBK" w:cs="方正仿宋_GBK"/>
                <w:color w:val="auto"/>
                <w:kern w:val="0"/>
                <w:sz w:val="18"/>
                <w:szCs w:val="18"/>
                <w:lang w:bidi="ar"/>
              </w:rPr>
              <w:t>林绿化工程建设</w:t>
            </w:r>
            <w:r>
              <w:rPr>
                <w:rFonts w:hint="eastAsia" w:ascii="方正仿宋_GBK" w:hAnsi="方正仿宋_GBK" w:eastAsia="方正仿宋_GBK" w:cs="方正仿宋_GBK"/>
                <w:color w:val="auto"/>
                <w:kern w:val="0"/>
                <w:sz w:val="18"/>
                <w:szCs w:val="18"/>
                <w:lang w:eastAsia="zh-CN" w:bidi="ar"/>
              </w:rPr>
              <w:t>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园林绿化行业相关企业和从业人员</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市林业园林局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园林绿化工程工人工资支付检查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《保障农民工工资支付条例》(国令第724 号)第三十九条）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市人力资源社会保障局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对企业遵守劳动保障法律法规的情况检查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eastAsia="zh-CN" w:bidi="ar"/>
              </w:rPr>
            </w:pPr>
            <w:r>
              <w:rPr>
                <w:rFonts w:hint="eastAsia" w:ascii="方正仿宋_GBK" w:hAnsi="方正仿宋_GBK" w:eastAsia="方正仿宋_GBK" w:cs="方正仿宋_GBK"/>
                <w:color w:val="auto"/>
                <w:kern w:val="0"/>
                <w:sz w:val="18"/>
                <w:szCs w:val="18"/>
              </w:rPr>
              <w:t>机动车维修</w:t>
            </w:r>
            <w:r>
              <w:rPr>
                <w:rFonts w:hint="eastAsia" w:ascii="方正仿宋_GBK" w:hAnsi="方正仿宋_GBK" w:eastAsia="方正仿宋_GBK" w:cs="方正仿宋_GBK"/>
                <w:color w:val="auto"/>
                <w:kern w:val="0"/>
                <w:sz w:val="18"/>
                <w:szCs w:val="18"/>
                <w:lang w:eastAsia="zh-CN"/>
              </w:rPr>
              <w:t>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rPr>
              <w:t>机动车维修企业</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kern w:val="0"/>
                <w:sz w:val="18"/>
                <w:szCs w:val="18"/>
              </w:rPr>
              <w:t>机动车维修经营公开公示的检查；机动车维修经营者安全履责的检查；机动车维修经营业务台账的检查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eastAsia="zh-CN"/>
              </w:rPr>
            </w:pPr>
            <w:r>
              <w:rPr>
                <w:rFonts w:hint="eastAsia" w:ascii="方正仿宋_GBK" w:hAnsi="方正仿宋_GBK" w:eastAsia="方正仿宋_GBK" w:cs="方正仿宋_GBK"/>
                <w:color w:val="auto"/>
                <w:kern w:val="0"/>
                <w:sz w:val="18"/>
                <w:szCs w:val="18"/>
                <w:lang w:eastAsia="zh-CN"/>
              </w:rPr>
              <w:t>《中华人民共和国安全生产法》第五条、第二十一条；《中华人民共和国道路运输条例》第四十三条；《机动车维修管理规定》第三条、第十二条、第二十三条、第二十五条、第二十六条、第三十二条、第三十三条、第三十八条；《广州市机动车维修管理规定》第六条、第</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eastAsia="zh-CN"/>
              </w:rPr>
            </w:pPr>
            <w:r>
              <w:rPr>
                <w:rFonts w:hint="eastAsia" w:ascii="方正仿宋_GBK" w:hAnsi="方正仿宋_GBK" w:eastAsia="方正仿宋_GBK" w:cs="方正仿宋_GBK"/>
                <w:color w:val="auto"/>
                <w:kern w:val="0"/>
                <w:sz w:val="18"/>
                <w:szCs w:val="18"/>
                <w:lang w:eastAsia="zh-CN"/>
              </w:rPr>
              <w:t>七条</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val="zh-CN" w:eastAsia="zh-CN"/>
              </w:rPr>
              <w:t>市</w:t>
            </w:r>
            <w:r>
              <w:rPr>
                <w:rFonts w:hint="eastAsia" w:ascii="方正仿宋_GBK" w:hAnsi="方正仿宋_GBK" w:eastAsia="方正仿宋_GBK" w:cs="方正仿宋_GBK"/>
                <w:color w:val="auto"/>
                <w:sz w:val="18"/>
                <w:szCs w:val="18"/>
                <w:vertAlign w:val="baseline"/>
                <w:lang w:val="en-US" w:eastAsia="zh-CN"/>
              </w:rPr>
              <w:t>生态环境</w:t>
            </w:r>
            <w:r>
              <w:rPr>
                <w:rFonts w:hint="eastAsia" w:ascii="方正仿宋_GBK" w:hAnsi="方正仿宋_GBK" w:eastAsia="方正仿宋_GBK" w:cs="方正仿宋_GBK"/>
                <w:color w:val="auto"/>
                <w:sz w:val="18"/>
                <w:szCs w:val="18"/>
                <w:vertAlign w:val="baseline"/>
                <w:lang w:val="zh-CN" w:eastAsia="zh-CN"/>
              </w:rPr>
              <w:t>局</w:t>
            </w:r>
          </w:p>
        </w:tc>
        <w:tc>
          <w:tcPr>
            <w:tcW w:w="2080" w:type="dxa"/>
            <w:vAlign w:val="center"/>
          </w:tcPr>
          <w:p>
            <w:pPr>
              <w:pStyle w:val="12"/>
              <w:jc w:val="left"/>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rPr>
              <w:t>检查机动车维修企业是否存在废矿物油等危险废物非法贮存、转移、处置等环境违法行为；检查有喷涂工序的机动车维修企业，大气污染防治措施是否按要求落实</w:t>
            </w:r>
            <w:r>
              <w:rPr>
                <w:rFonts w:hint="eastAsia" w:ascii="方正仿宋_GBK" w:hAnsi="方正仿宋_GBK" w:eastAsia="方正仿宋_GBK" w:cs="方正仿宋_GBK"/>
                <w:color w:val="auto"/>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eastAsia="zh-CN"/>
              </w:rPr>
            </w:pPr>
            <w:r>
              <w:rPr>
                <w:rFonts w:hint="eastAsia" w:ascii="方正仿宋_GBK" w:hAnsi="方正仿宋_GBK" w:eastAsia="方正仿宋_GBK" w:cs="方正仿宋_GBK"/>
                <w:color w:val="auto"/>
                <w:sz w:val="18"/>
                <w:szCs w:val="18"/>
              </w:rPr>
              <w:t>机动车驾驶员培训机构</w:t>
            </w:r>
            <w:r>
              <w:rPr>
                <w:rFonts w:hint="eastAsia" w:ascii="方正仿宋_GBK" w:hAnsi="方正仿宋_GBK" w:eastAsia="方正仿宋_GBK" w:cs="方正仿宋_GBK"/>
                <w:color w:val="auto"/>
                <w:sz w:val="18"/>
                <w:szCs w:val="18"/>
                <w:lang w:eastAsia="zh-CN"/>
              </w:rPr>
              <w:t>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lang w:val="zh-CN"/>
              </w:rPr>
              <w:t>取得《道路运输经营许可证》或备案的驾培机构</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rPr>
            </w:pPr>
            <w:r>
              <w:rPr>
                <w:rFonts w:hint="eastAsia" w:ascii="方正仿宋_GBK" w:hAnsi="方正仿宋_GBK" w:eastAsia="方正仿宋_GBK" w:cs="方正仿宋_GBK"/>
                <w:color w:val="auto"/>
                <w:sz w:val="18"/>
                <w:szCs w:val="18"/>
                <w:lang w:val="zh-CN"/>
              </w:rPr>
              <w:t>机动车驾驶员培训机构经营行为、对外公示、履行安全生产主体责任情况的抽查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zh-CN" w:eastAsia="zh-CN"/>
              </w:rPr>
              <w:t>《中华人民共和国安全生产法》、《中华人民共和国道路运输条例》、《机动车驾驶员培训管理规定》、《广东省道路运输条例》、《广州市机动车驾驶员培训管理办法》等</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zh-CN" w:eastAsia="zh-CN"/>
              </w:rPr>
            </w:pPr>
            <w:r>
              <w:rPr>
                <w:rFonts w:hint="eastAsia" w:ascii="方正仿宋_GBK" w:hAnsi="方正仿宋_GBK" w:eastAsia="方正仿宋_GBK" w:cs="方正仿宋_GBK"/>
                <w:color w:val="auto"/>
                <w:sz w:val="18"/>
                <w:szCs w:val="18"/>
                <w:vertAlign w:val="baseline"/>
                <w:lang w:val="zh-CN" w:eastAsia="zh-CN"/>
              </w:rPr>
              <w:t>市市场监管局</w:t>
            </w:r>
          </w:p>
        </w:tc>
        <w:tc>
          <w:tcPr>
            <w:tcW w:w="2080" w:type="dxa"/>
            <w:vAlign w:val="center"/>
          </w:tcPr>
          <w:p>
            <w:pPr>
              <w:pStyle w:val="12"/>
              <w:jc w:val="center"/>
              <w:rPr>
                <w:rFonts w:hint="eastAsia" w:ascii="方正仿宋_GBK" w:hAnsi="方正仿宋_GBK" w:eastAsia="方正仿宋_GBK" w:cs="方正仿宋_GBK"/>
                <w:color w:val="auto"/>
                <w:sz w:val="18"/>
                <w:szCs w:val="18"/>
                <w:lang w:val="zh-CN"/>
              </w:rPr>
            </w:pPr>
            <w:r>
              <w:rPr>
                <w:rFonts w:hint="eastAsia" w:ascii="方正仿宋_GBK" w:hAnsi="方正仿宋_GBK" w:eastAsia="方正仿宋_GBK" w:cs="方正仿宋_GBK"/>
                <w:color w:val="auto"/>
                <w:sz w:val="18"/>
                <w:szCs w:val="18"/>
                <w:lang w:val="zh-CN"/>
              </w:rPr>
              <w:t>广告发布情况的检查</w:t>
            </w:r>
          </w:p>
          <w:p>
            <w:pPr>
              <w:pStyle w:val="12"/>
              <w:jc w:val="left"/>
              <w:rPr>
                <w:rFonts w:hint="eastAsia" w:ascii="方正仿宋_GBK" w:hAnsi="方正仿宋_GBK" w:eastAsia="方正仿宋_GBK" w:cs="方正仿宋_GBK"/>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道路运输新业态企业检查</w:t>
            </w:r>
          </w:p>
        </w:tc>
        <w:tc>
          <w:tcPr>
            <w:tcW w:w="720"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网络预约出租汽车企业</w:t>
            </w:r>
          </w:p>
        </w:tc>
        <w:tc>
          <w:tcPr>
            <w:tcW w:w="67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对企业依法依规经营情况检查</w:t>
            </w:r>
          </w:p>
        </w:tc>
        <w:tc>
          <w:tcPr>
            <w:tcW w:w="3744" w:type="dxa"/>
            <w:vMerge w:val="restart"/>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《中华人民共和国安全生产法》《网络预约出租汽车经营服务管理暂行办法》、《广东省出租汽车经营管理办法》、《电子商务法》、《网络交易监督管理办法》等</w:t>
            </w: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价格行为的检查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08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对纳税情况检查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道路运输车辆达标管理情况检查</w:t>
            </w:r>
          </w:p>
        </w:tc>
        <w:tc>
          <w:tcPr>
            <w:tcW w:w="720"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一般事项</w:t>
            </w:r>
          </w:p>
        </w:tc>
        <w:tc>
          <w:tcPr>
            <w:tcW w:w="2336"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机动车检验检测机构</w:t>
            </w:r>
          </w:p>
        </w:tc>
        <w:tc>
          <w:tcPr>
            <w:tcW w:w="672"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实地检查</w:t>
            </w:r>
          </w:p>
        </w:tc>
        <w:tc>
          <w:tcPr>
            <w:tcW w:w="1008"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道路运输车辆达标管理情况检查</w:t>
            </w:r>
          </w:p>
        </w:tc>
        <w:tc>
          <w:tcPr>
            <w:tcW w:w="3744"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 w:eastAsia="zh-CN"/>
              </w:rPr>
              <w:t>《道路运输车辆技术管理规定》《道路运输车辆燃料消耗量检测和监督管理办法》《道路运输达标车辆核查工作规范》等</w:t>
            </w:r>
          </w:p>
        </w:tc>
        <w:tc>
          <w:tcPr>
            <w:tcW w:w="1040"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z w:val="18"/>
                <w:szCs w:val="18"/>
                <w:lang w:val="en-US" w:eastAsia="zh-CN"/>
              </w:rPr>
              <w:t>市市场监管局</w:t>
            </w:r>
          </w:p>
        </w:tc>
        <w:tc>
          <w:tcPr>
            <w:tcW w:w="2080"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lang w:val="en-US" w:eastAsia="zh-CN" w:bidi="ar-SA"/>
              </w:rPr>
            </w:pPr>
            <w:r>
              <w:rPr>
                <w:rFonts w:hint="default" w:ascii="方正仿宋_GBK" w:hAnsi="方正仿宋_GBK" w:eastAsia="方正仿宋_GBK" w:cs="方正仿宋_GBK"/>
                <w:color w:val="auto"/>
                <w:sz w:val="18"/>
                <w:szCs w:val="18"/>
                <w:lang w:val="en-US" w:eastAsia="zh-CN"/>
              </w:rPr>
              <w:t>检验检测机构检查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交通运输产品质量监督检查</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工程建设</w:t>
            </w:r>
            <w:r>
              <w:rPr>
                <w:rFonts w:hint="eastAsia" w:ascii="方正仿宋_GBK" w:hAnsi="方正仿宋_GBK" w:eastAsia="方正仿宋_GBK" w:cs="方正仿宋_GBK"/>
                <w:color w:val="auto"/>
                <w:kern w:val="0"/>
                <w:sz w:val="18"/>
                <w:szCs w:val="18"/>
                <w:lang w:eastAsia="zh-CN" w:bidi="ar"/>
              </w:rPr>
              <w:t>项目</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交通运输产品质量监督检查</w:t>
            </w:r>
          </w:p>
        </w:tc>
        <w:tc>
          <w:tcPr>
            <w:tcW w:w="374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lang w:val="en" w:eastAsia="zh-CN" w:bidi="ar-SA"/>
              </w:rPr>
              <w:t>《中华人民共和国安全生产法》《建设工程安全生产管理条例》《建设工程质量管理条例》</w:t>
            </w:r>
            <w:r>
              <w:rPr>
                <w:rFonts w:hint="eastAsia" w:ascii="方正仿宋_GBK" w:hAnsi="方正仿宋_GBK" w:eastAsia="方正仿宋_GBK" w:cs="方正仿宋_GBK"/>
                <w:color w:val="auto"/>
                <w:kern w:val="2"/>
                <w:sz w:val="18"/>
                <w:szCs w:val="18"/>
                <w:lang w:val="en-US" w:eastAsia="zh-CN" w:bidi="ar-SA"/>
              </w:rPr>
              <w:t>《公路建设监督管理办法》</w:t>
            </w:r>
            <w:r>
              <w:rPr>
                <w:rFonts w:hint="eastAsia" w:ascii="方正仿宋_GBK" w:hAnsi="方正仿宋_GBK" w:eastAsia="方正仿宋_GBK" w:cs="方正仿宋_GBK"/>
                <w:color w:val="auto"/>
                <w:kern w:val="2"/>
                <w:sz w:val="18"/>
                <w:szCs w:val="18"/>
                <w:lang w:val="en" w:eastAsia="zh-CN" w:bidi="ar-SA"/>
              </w:rPr>
              <w:t>等</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产品质量检查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4"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道路危险货物运输企业检查</w:t>
            </w:r>
          </w:p>
        </w:tc>
        <w:tc>
          <w:tcPr>
            <w:tcW w:w="720"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道路危险货物运输企业</w:t>
            </w:r>
          </w:p>
        </w:tc>
        <w:tc>
          <w:tcPr>
            <w:tcW w:w="67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3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对车辆营运资质、从业人员培训情况等内容检查</w:t>
            </w:r>
          </w:p>
        </w:tc>
        <w:tc>
          <w:tcPr>
            <w:tcW w:w="3744" w:type="dxa"/>
            <w:vMerge w:val="restart"/>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jc w:val="both"/>
              <w:textAlignment w:val="auto"/>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lang w:val="en-US" w:eastAsia="zh-CN"/>
              </w:rPr>
              <w:t>《中华人民共和国道路运输条例》、《道路运输车辆动态监督管理办法》、《道路运输从业人员管理规定》《广东省道路运输条例》、《道路危险货物运输管理规定》、《危险货物道路运输安全管理办法》等</w:t>
            </w:r>
          </w:p>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危险货物运输车辆进行检查，重点对罐车的检查，对无牌无证、超速、不按规定路线行驶车辆违反通行规定的检查;对无证运输剧毒货物，未按照运输通行证注明内容运输剧毒货物，未随身携带运输通行证明，擅自进入危险货物运输车辆禁止通行区域，在禁止通行区域不按规定的通行时间、路线、速度行驶的，危运车运输中不配备押运人员等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080"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对危险化学品生产、经营企业的安全进行检查，对危险化学品生产、经营企业落实安全生产责任制情况，对危险化学品生产、经营企业把危险化学品交给有资质的危险货物运输企业、车辆和人员运输，严格按照提货单据载明的品种、数量和对应的车辆实施装载，并对车辆的资质证件、装载数量等情况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农业转基因生物安全检查</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Style w:val="11"/>
                <w:rFonts w:hint="eastAsia" w:ascii="方正仿宋_GBK" w:hAnsi="方正仿宋_GBK" w:eastAsia="方正仿宋_GBK" w:cs="方正仿宋_GBK"/>
                <w:color w:val="auto"/>
                <w:sz w:val="18"/>
                <w:szCs w:val="18"/>
                <w:lang w:bidi="ar"/>
              </w:rPr>
              <w:t>在我国境内从事农业转基因生物研究、试验、生产、加工、经营和进口、出口活动的单位和个人</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市农业农村局</w:t>
            </w: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农业转基因生物安全监督检查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《农业转基因生物安全管理条例》第四条、第三十八条、第三十九条、第四十条</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登记事项检查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肥料</w:t>
            </w:r>
            <w:r>
              <w:rPr>
                <w:rFonts w:hint="eastAsia" w:ascii="方正仿宋_GBK" w:hAnsi="方正仿宋_GBK" w:eastAsia="方正仿宋_GBK" w:cs="方正仿宋_GBK"/>
                <w:color w:val="auto"/>
                <w:sz w:val="18"/>
                <w:szCs w:val="18"/>
                <w:vertAlign w:val="baseline"/>
                <w:lang w:eastAsia="zh-CN"/>
              </w:rPr>
              <w:t>生产抽查</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肥料生产经营者</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肥料</w:t>
            </w:r>
            <w:r>
              <w:rPr>
                <w:rFonts w:hint="eastAsia" w:ascii="方正仿宋_GBK" w:hAnsi="方正仿宋_GBK" w:eastAsia="方正仿宋_GBK" w:cs="方正仿宋_GBK"/>
                <w:color w:val="auto"/>
                <w:sz w:val="18"/>
                <w:szCs w:val="18"/>
                <w:vertAlign w:val="baseline"/>
                <w:lang w:eastAsia="zh-CN"/>
              </w:rPr>
              <w:t>生产抽查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《肥料登记管理办法》（农业农村部令2022年第1号修订）第六条</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产品质量监督检查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牲畜、水生野生动物养殖加工情况的检查</w:t>
            </w:r>
          </w:p>
        </w:tc>
        <w:tc>
          <w:tcPr>
            <w:tcW w:w="72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从事种畜禽生产经营的单位</w:t>
            </w:r>
          </w:p>
        </w:tc>
        <w:tc>
          <w:tcPr>
            <w:tcW w:w="67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种畜禽质量监督检查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《中华人民共和国畜牧法》第三十三条、第五十四条、第五十六条</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登记事项检查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利用水生野生动物及其制品的事业单位、企业、社会组织</w:t>
            </w: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水生野生动物及其制品利用活动的监督检查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《中华人民共和国野生动物保护法》、《中华人民共和国水生野生动物保护实施条例》、《广东省野生动物保护管理条例》</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val="en-US"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为非法交易野生动物等违法行为提供交易服务的检查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新车销售</w:t>
            </w:r>
            <w:r>
              <w:rPr>
                <w:rFonts w:hint="eastAsia" w:ascii="方正仿宋_GBK" w:hAnsi="方正仿宋_GBK" w:eastAsia="方正仿宋_GBK" w:cs="方正仿宋_GBK"/>
                <w:color w:val="auto"/>
                <w:kern w:val="0"/>
                <w:sz w:val="18"/>
                <w:szCs w:val="18"/>
                <w:lang w:eastAsia="zh-CN" w:bidi="ar"/>
              </w:rPr>
              <w:t>检查</w:t>
            </w:r>
          </w:p>
        </w:tc>
        <w:tc>
          <w:tcPr>
            <w:tcW w:w="72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新车销售市场经营主体</w:t>
            </w:r>
          </w:p>
        </w:tc>
        <w:tc>
          <w:tcPr>
            <w:tcW w:w="67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市商务局</w:t>
            </w:r>
          </w:p>
        </w:tc>
        <w:tc>
          <w:tcPr>
            <w:tcW w:w="203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新车销售市场规范经营情况检查</w:t>
            </w:r>
          </w:p>
        </w:tc>
        <w:tc>
          <w:tcPr>
            <w:tcW w:w="374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《汽车销售管理办法》（商务部令</w:t>
            </w:r>
            <w:r>
              <w:rPr>
                <w:rFonts w:hint="eastAsia" w:ascii="方正仿宋_GBK" w:hAnsi="方正仿宋_GBK" w:eastAsia="方正仿宋_GBK" w:cs="方正仿宋_GBK"/>
                <w:color w:val="auto"/>
                <w:sz w:val="18"/>
                <w:szCs w:val="18"/>
                <w:vertAlign w:val="baseline"/>
                <w:lang w:val="en-US" w:eastAsia="zh-CN"/>
              </w:rPr>
              <w:t>2017年第1号</w:t>
            </w:r>
            <w:r>
              <w:rPr>
                <w:rFonts w:hint="eastAsia" w:ascii="方正仿宋_GBK" w:hAnsi="方正仿宋_GBK" w:eastAsia="方正仿宋_GBK" w:cs="方正仿宋_GBK"/>
                <w:color w:val="auto"/>
                <w:sz w:val="18"/>
                <w:szCs w:val="18"/>
                <w:vertAlign w:val="baseline"/>
                <w:lang w:eastAsia="zh-CN"/>
              </w:rPr>
              <w:t>）</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新车销售市场合同违法行为检查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新车销售发票规范开具情况、申报纳税情况检查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二手车</w:t>
            </w:r>
            <w:r>
              <w:rPr>
                <w:rFonts w:hint="eastAsia" w:ascii="方正仿宋_GBK" w:hAnsi="方正仿宋_GBK" w:eastAsia="方正仿宋_GBK" w:cs="方正仿宋_GBK"/>
                <w:color w:val="auto"/>
                <w:kern w:val="0"/>
                <w:sz w:val="18"/>
                <w:szCs w:val="18"/>
                <w:lang w:eastAsia="zh-CN" w:bidi="ar"/>
              </w:rPr>
              <w:t>检查</w:t>
            </w:r>
          </w:p>
        </w:tc>
        <w:tc>
          <w:tcPr>
            <w:tcW w:w="72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二手车交易市场和二手车经营主</w:t>
            </w:r>
          </w:p>
        </w:tc>
        <w:tc>
          <w:tcPr>
            <w:tcW w:w="67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市商务局</w:t>
            </w:r>
          </w:p>
        </w:tc>
        <w:tc>
          <w:tcPr>
            <w:tcW w:w="203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二手车交易市场经营者及经营主体备案、注册情况；二手车市场规范经营情况；二手车交易信息填报情况；二手车所有权交易情况检查；二手车所有权交易“跨省通办”便利措施落实情况检查</w:t>
            </w:r>
          </w:p>
        </w:tc>
        <w:tc>
          <w:tcPr>
            <w:tcW w:w="3744"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《二手车流通管理办法》、《机动车登记规定》、《广东省二手车交易增值税征收管理办法》</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登记事项、公示信息检查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二手车市场内开设的机动车登记服务站工作情况检查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二手车交易发票合规使用情况检查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报废机动车回收拆解活动监管</w:t>
            </w:r>
          </w:p>
        </w:tc>
        <w:tc>
          <w:tcPr>
            <w:tcW w:w="720" w:type="dxa"/>
            <w:vMerge w:val="restart"/>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kinsoku/>
              <w:wordWrap/>
              <w:overflowPunct/>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报废机动车回收拆解企业</w:t>
            </w:r>
          </w:p>
        </w:tc>
        <w:tc>
          <w:tcPr>
            <w:tcW w:w="672" w:type="dxa"/>
            <w:vMerge w:val="restart"/>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Merge w:val="restart"/>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报废汽车回收企业资质认定的检查，出具《报废机动车回收证明》情况</w:t>
            </w:r>
          </w:p>
        </w:tc>
        <w:tc>
          <w:tcPr>
            <w:tcW w:w="3744" w:type="dxa"/>
            <w:vMerge w:val="restart"/>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《报废机动车回收管理办法》(国务院令第715号) 、《报废机动车回收管理办法实施细则》(商务部令2020年第2号)、《报废机动车回收拆解企业技术规范》( GB22128-2019) 、《报废机动车拆解环境保护技术规范》( HJ348-2007 )</w:t>
            </w:r>
          </w:p>
        </w:tc>
        <w:tc>
          <w:tcPr>
            <w:tcW w:w="1040" w:type="dxa"/>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市生态环境局</w:t>
            </w:r>
          </w:p>
        </w:tc>
        <w:tc>
          <w:tcPr>
            <w:tcW w:w="2080" w:type="dxa"/>
            <w:vAlign w:val="center"/>
          </w:tcPr>
          <w:p>
            <w:pPr>
              <w:keepNext w:val="0"/>
              <w:keepLines w:val="0"/>
              <w:pageBreakBefore w:val="0"/>
              <w:kinsoku/>
              <w:wordWrap/>
              <w:overflowPunct/>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环保手续及环境污染防治落实情况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eastAsia="zh-CN"/>
              </w:rPr>
              <w:t>市市场监管局</w:t>
            </w:r>
          </w:p>
        </w:tc>
        <w:tc>
          <w:tcPr>
            <w:tcW w:w="208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登记事项检查和公示信息检查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市公安局</w:t>
            </w:r>
          </w:p>
        </w:tc>
        <w:tc>
          <w:tcPr>
            <w:tcW w:w="208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报废机动车回收拆解程序合规情况检查，“五大总成”及其他零部件处置情况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市发展改革委</w:t>
            </w:r>
          </w:p>
        </w:tc>
        <w:tc>
          <w:tcPr>
            <w:tcW w:w="208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报废汽车回收企业资质认定的检查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市</w:t>
            </w:r>
            <w:r>
              <w:rPr>
                <w:rFonts w:hint="eastAsia" w:ascii="Times New Roman" w:hAnsi="Times New Roman" w:eastAsia="方正仿宋_GBK" w:cs="方正仿宋_GBK"/>
                <w:color w:val="auto"/>
                <w:sz w:val="18"/>
                <w:szCs w:val="18"/>
                <w:lang w:eastAsia="zh-CN"/>
              </w:rPr>
              <w:t>交通运输局</w:t>
            </w:r>
          </w:p>
        </w:tc>
        <w:tc>
          <w:tcPr>
            <w:tcW w:w="2080" w:type="dxa"/>
            <w:vAlign w:val="center"/>
          </w:tcPr>
          <w:p>
            <w:pPr>
              <w:keepNext w:val="0"/>
              <w:keepLines w:val="0"/>
              <w:pageBreakBefore w:val="0"/>
              <w:kinsoku/>
              <w:wordWrap/>
              <w:overflowPunct/>
              <w:autoSpaceDE/>
              <w:autoSpaceDN/>
              <w:bidi w:val="0"/>
              <w:spacing w:line="240" w:lineRule="auto"/>
              <w:jc w:val="both"/>
              <w:rPr>
                <w:rFonts w:hint="eastAsia" w:asciiTheme="minorHAnsi" w:hAnsiTheme="minorHAnsi" w:eastAsiaTheme="minorEastAsia" w:cstheme="minorBidi"/>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配合检查“五大总成”及其他零部件处置情况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单用途商业预付卡监督检查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单用途商业预付卡发卡企业</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autoSpaceDE/>
              <w:autoSpaceDN/>
              <w:bidi w:val="0"/>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单用途商业预付卡业务检查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《单用途商业预付卡管理办法（试行）》</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autoSpaceDE/>
              <w:autoSpaceDN/>
              <w:bidi w:val="0"/>
              <w:spacing w:line="240" w:lineRule="auto"/>
              <w:jc w:val="both"/>
              <w:rPr>
                <w:rFonts w:hint="eastAsia" w:ascii="Times New Roman" w:hAnsi="Times New Roman" w:eastAsia="方正仿宋_GBK" w:cs="方正仿宋_GBK"/>
                <w:color w:val="auto"/>
                <w:sz w:val="18"/>
                <w:szCs w:val="18"/>
                <w:lang w:val="en-US" w:eastAsia="zh-CN"/>
              </w:rPr>
            </w:pPr>
            <w:r>
              <w:rPr>
                <w:rFonts w:hint="eastAsia" w:ascii="Times New Roman" w:hAnsi="Times New Roman" w:eastAsia="方正仿宋_GBK" w:cs="方正仿宋_GBK"/>
                <w:color w:val="auto"/>
                <w:sz w:val="18"/>
                <w:szCs w:val="18"/>
                <w:lang w:val="en-US" w:eastAsia="zh-CN"/>
              </w:rPr>
              <w:t>对格式合同中不公平格式条款检查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r>
              <w:rPr>
                <w:rFonts w:hint="default" w:ascii="方正仿宋_GBK" w:hAnsi="方正仿宋_GBK" w:eastAsia="方正仿宋_GBK" w:cs="方正仿宋_GBK"/>
                <w:color w:val="auto"/>
                <w:sz w:val="18"/>
                <w:szCs w:val="18"/>
                <w:vertAlign w:val="baseline"/>
                <w:lang w:val="en-US" w:eastAsia="zh-CN"/>
              </w:rPr>
              <w:t>上网服务场所</w:t>
            </w:r>
            <w:r>
              <w:rPr>
                <w:rFonts w:hint="eastAsia" w:ascii="方正仿宋_GBK" w:hAnsi="方正仿宋_GBK" w:eastAsia="方正仿宋_GBK" w:cs="方正仿宋_GBK"/>
                <w:color w:val="auto"/>
                <w:sz w:val="18"/>
                <w:szCs w:val="18"/>
                <w:vertAlign w:val="baseline"/>
                <w:lang w:val="en-US" w:eastAsia="zh-CN"/>
              </w:rPr>
              <w:t>检</w:t>
            </w:r>
            <w:r>
              <w:rPr>
                <w:rFonts w:hint="default" w:ascii="方正仿宋_GBK" w:hAnsi="方正仿宋_GBK" w:eastAsia="方正仿宋_GBK" w:cs="方正仿宋_GBK"/>
                <w:color w:val="auto"/>
                <w:sz w:val="18"/>
                <w:szCs w:val="18"/>
                <w:vertAlign w:val="baseline"/>
                <w:lang w:val="en-US" w:eastAsia="zh-CN"/>
              </w:rPr>
              <w:t>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r>
              <w:rPr>
                <w:rFonts w:hint="eastAsia" w:ascii="方正仿宋_GBK" w:hAnsi="方正仿宋_GBK" w:eastAsia="方正仿宋_GBK" w:cs="方正仿宋_GBK"/>
                <w:color w:val="auto"/>
                <w:sz w:val="18"/>
                <w:szCs w:val="18"/>
                <w:vertAlign w:val="baseline"/>
                <w:lang w:val="en-US" w:eastAsia="zh-CN"/>
              </w:rPr>
              <w:t>重点上网服务经营场所</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r>
              <w:rPr>
                <w:rFonts w:hint="eastAsia" w:ascii="方正仿宋_GBK" w:hAnsi="方正仿宋_GBK" w:eastAsia="方正仿宋_GBK" w:cs="方正仿宋_GBK"/>
                <w:color w:val="auto"/>
                <w:sz w:val="18"/>
                <w:szCs w:val="18"/>
                <w:vertAlign w:val="baseline"/>
                <w:lang w:val="en-US" w:eastAsia="zh-CN"/>
              </w:rPr>
              <w:t>上网服务经营场所经营情况的检查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《互联网上网服务营业场所管理条例》</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市公安局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信息网络安全技术措施落实情况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0"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影剧院、录像厅（室）、游艺厅（室）、舞厅、音乐厅情况</w:t>
            </w:r>
            <w:r>
              <w:rPr>
                <w:rFonts w:hint="eastAsia" w:ascii="方正仿宋_GBK" w:hAnsi="方正仿宋_GBK" w:eastAsia="方正仿宋_GBK" w:cs="方正仿宋_GBK"/>
                <w:color w:val="auto"/>
                <w:sz w:val="18"/>
                <w:szCs w:val="18"/>
                <w:vertAlign w:val="baseline"/>
                <w:lang w:eastAsia="zh-CN"/>
              </w:rPr>
              <w:t>的检查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影剧院、录像厅（室）、游艺厅（室）、舞厅、音乐厅</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歌舞娱乐场所取得相关许可证及其他相关情况的检查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《娱乐场所管理条例》</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rPr>
              <w:t>影剧院、录像厅（室）、游艺厅（室）、舞厅、音乐厅</w:t>
            </w:r>
            <w:r>
              <w:rPr>
                <w:rFonts w:hint="eastAsia" w:ascii="方正仿宋_GBK" w:hAnsi="方正仿宋_GBK" w:eastAsia="方正仿宋_GBK" w:cs="方正仿宋_GBK"/>
                <w:color w:val="auto"/>
                <w:sz w:val="18"/>
                <w:szCs w:val="18"/>
                <w:vertAlign w:val="baseline"/>
                <w:lang w:eastAsia="zh-CN"/>
              </w:rPr>
              <w:t>卫生状况及卫生制度的检查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经营性互联网文化单位的检查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经营性互联网文化单位</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经营性互联网文化单位经营情况的检查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《互联网文化管理暂行规定》第六条第三款</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对企业网络安全、实名制、个人信息保护等落实情况进行检查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营业性演出经营活动从业单位的检查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营业性演出从业单位</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营业性演出经营活动从业单位取得许可证情况的检查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营业性演出经营活动从业单位经营情况的检查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《营业性演出管理条例》、《营业性演出管理条例实施细则》</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对安全检查、观众核准数量、演出秩序、安全保卫情况检查以及《营业性演出管理条例》规定的其他情形检查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艺术品经营单位的检查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艺术品经营单位</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市文化广电旅游局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艺术品经营单位从事艺术品经营活动的检查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艺术品经营单位备案情况的检查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《艺术品经营管理办法》</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拍卖活动经营资格的检查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旅行社检查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旅行社</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旅行社取得许可证情况的检查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旅行社经营情况的检查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根据《中华人民共和国旅游法（</w:t>
            </w:r>
            <w:r>
              <w:rPr>
                <w:rFonts w:hint="eastAsia" w:ascii="方正仿宋_GBK" w:hAnsi="方正仿宋_GBK" w:eastAsia="方正仿宋_GBK" w:cs="方正仿宋_GBK"/>
                <w:color w:val="auto"/>
                <w:sz w:val="18"/>
                <w:szCs w:val="18"/>
                <w:vertAlign w:val="baseline"/>
                <w:lang w:val="en-US" w:eastAsia="zh-CN"/>
              </w:rPr>
              <w:t>2018修正</w:t>
            </w:r>
            <w:r>
              <w:rPr>
                <w:rFonts w:hint="eastAsia" w:ascii="方正仿宋_GBK" w:hAnsi="方正仿宋_GBK" w:eastAsia="方正仿宋_GBK" w:cs="方正仿宋_GBK"/>
                <w:color w:val="auto"/>
                <w:sz w:val="18"/>
                <w:szCs w:val="18"/>
                <w:vertAlign w:val="baseline"/>
                <w:lang w:eastAsia="zh-CN"/>
              </w:rPr>
              <w:t>）》第五十三条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Times New Roman" w:hAnsi="Times New Roman" w:eastAsia="方正仿宋_GBK" w:cs="方正仿宋_GBK"/>
                <w:color w:val="auto"/>
                <w:sz w:val="18"/>
                <w:szCs w:val="18"/>
                <w:lang w:val="en-US" w:eastAsia="zh-CN"/>
              </w:rPr>
              <w:t>对格式合同中不公平格式条款检查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通过网络经营旅行社业务的检查</w:t>
            </w:r>
          </w:p>
        </w:tc>
        <w:tc>
          <w:tcPr>
            <w:tcW w:w="720"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spacing w:val="-6"/>
                <w:kern w:val="0"/>
                <w:sz w:val="18"/>
                <w:szCs w:val="18"/>
                <w:lang w:bidi="ar"/>
              </w:rPr>
              <w:t>通过网络经营旅行社业务的企业及平台</w:t>
            </w:r>
          </w:p>
        </w:tc>
        <w:tc>
          <w:tcPr>
            <w:tcW w:w="672" w:type="dxa"/>
            <w:vMerge w:val="restart"/>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通过网络经营旅行社业务的检查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方正仿宋_GBK" w:cs="方正仿宋_GBK"/>
                <w:color w:val="auto"/>
                <w:sz w:val="18"/>
                <w:szCs w:val="18"/>
                <w:lang w:val="en-US" w:eastAsia="zh-CN"/>
              </w:rPr>
            </w:pPr>
            <w:r>
              <w:rPr>
                <w:rFonts w:hint="eastAsia" w:ascii="Times New Roman" w:hAnsi="Times New Roman" w:eastAsia="方正仿宋_GBK" w:cs="方正仿宋_GBK"/>
                <w:color w:val="auto"/>
                <w:sz w:val="18"/>
                <w:szCs w:val="18"/>
                <w:lang w:val="en-US" w:eastAsia="zh-CN"/>
              </w:rPr>
              <w:t>《中华人民共和国旅游法（2018修正）》第四十八条</w:t>
            </w:r>
          </w:p>
        </w:tc>
        <w:tc>
          <w:tcPr>
            <w:tcW w:w="104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对广告宣传推广活动检查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发布旅游经营信息的网站</w:t>
            </w: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发布旅游经营信息网站的检查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imes New Roman" w:hAnsi="Times New Roman" w:eastAsia="方正仿宋_GBK" w:cs="方正仿宋_GBK"/>
                <w:color w:val="auto"/>
                <w:sz w:val="18"/>
                <w:szCs w:val="18"/>
                <w:lang w:val="en-US" w:eastAsia="zh-CN"/>
              </w:rPr>
            </w:pPr>
            <w:r>
              <w:rPr>
                <w:rFonts w:hint="eastAsia" w:ascii="Times New Roman" w:hAnsi="Times New Roman" w:eastAsia="方正仿宋_GBK" w:cs="方正仿宋_GBK"/>
                <w:color w:val="auto"/>
                <w:sz w:val="18"/>
                <w:szCs w:val="18"/>
                <w:lang w:val="en-US" w:eastAsia="zh-CN"/>
              </w:rPr>
              <w:t>《中华人民共和国旅游法（2018修正）》第四十八条</w:t>
            </w:r>
          </w:p>
        </w:tc>
        <w:tc>
          <w:tcPr>
            <w:tcW w:w="10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8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0"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剧场、娱乐场所的检查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剧院、舞厅、音乐厅、KTV</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歌舞娱乐场所取得相关许可证及其他相关情况的检查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《娱乐场所管理条例》</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pStyle w:val="5"/>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闭路电视监控、从业人员名簿、营业日态、违法行为警示系统、赌博、吸毒、卖淫嫘娼、邪教迷信以及《娱乐场所管理条例》规定的其他情形检查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市卫生健康委</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环境卫生状况及卫生制度的情况监督检查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72"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卫星地面接收设施安装使用情况</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设置卫星地面接收设施的单位</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03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接收卫星、接收方位、接收目的、接收内容、接收方式、收视范围对象等</w:t>
            </w:r>
            <w:r>
              <w:rPr>
                <w:rFonts w:hint="eastAsia" w:ascii="方正仿宋_GBK" w:hAnsi="方正仿宋_GBK" w:eastAsia="方正仿宋_GBK" w:cs="方正仿宋_GBK"/>
                <w:color w:val="auto"/>
                <w:kern w:val="0"/>
                <w:sz w:val="18"/>
                <w:szCs w:val="18"/>
                <w:lang w:eastAsia="zh-CN" w:bidi="ar"/>
              </w:rPr>
              <w:t>情况的检查</w:t>
            </w:r>
          </w:p>
        </w:tc>
        <w:tc>
          <w:tcPr>
            <w:tcW w:w="374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《卫星电视广播地面接收设施管理规定》第七条、第八条；《卫星电视广播地面接收设施管理规定实施细则》第五条、第十一条</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市工业和信息化局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根据《建立卫星通信网和设置使用地球站管理规定》第四条第二款“设置使用单收地球站，不需要无线电管理机构对其信息接收提供电磁环境保护的，可以不按本规定办理审批手续”，对已经办理无线电执照的卫星地球站是否按照无线电台执照载明参数开展工作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经营高危险性体育项目（游泳）场所监督检查</w:t>
            </w:r>
          </w:p>
        </w:tc>
        <w:tc>
          <w:tcPr>
            <w:tcW w:w="72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经营高危险性体育项目（游泳）场所</w:t>
            </w:r>
          </w:p>
        </w:tc>
        <w:tc>
          <w:tcPr>
            <w:tcW w:w="672"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市体育局</w:t>
            </w:r>
          </w:p>
        </w:tc>
        <w:tc>
          <w:tcPr>
            <w:tcW w:w="2032"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方正仿宋_GBK" w:hAnsi="方正仿宋_GBK" w:eastAsia="方正仿宋_GBK" w:cs="方正仿宋_GBK"/>
                <w:b w:val="0"/>
                <w:color w:val="auto"/>
                <w:kern w:val="0"/>
                <w:sz w:val="18"/>
                <w:szCs w:val="18"/>
                <w:lang w:bidi="ar"/>
              </w:rPr>
            </w:pPr>
            <w:r>
              <w:rPr>
                <w:rFonts w:hint="eastAsia" w:ascii="方正仿宋_GBK" w:hAnsi="方正仿宋_GBK" w:eastAsia="方正仿宋_GBK" w:cs="方正仿宋_GBK"/>
                <w:color w:val="auto"/>
                <w:kern w:val="0"/>
                <w:sz w:val="18"/>
                <w:szCs w:val="18"/>
                <w:lang w:bidi="ar"/>
              </w:rPr>
              <w:t>（一）是否办理了高危体育项目经营许可证（指企业及个体工商户）、卫生许可证，是否亮证经营。</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（二）各个高危体育项目经营场所是否符合国家标准的体育场所开放条件与技术要求。</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1.水质（游泳、潜水）、救生设施、卫生条件、设施设备、警示标识标牌、安全指引等是否符合标准和要求，警示标志、标示牌是否按规定设置。</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2.各技术岗位人员是否按规定配备、是否进行了岗前培训、是否持证上岗。</w:t>
            </w:r>
          </w:p>
          <w:p>
            <w:pPr>
              <w:keepNext w:val="0"/>
              <w:keepLines w:val="0"/>
              <w:pageBreakBefore w:val="0"/>
              <w:widowControl/>
              <w:kinsoku/>
              <w:wordWrap/>
              <w:overflowPunct/>
              <w:topLinePunct w:val="0"/>
              <w:autoSpaceDE/>
              <w:autoSpaceDN/>
              <w:bidi w:val="0"/>
              <w:adjustRightInd/>
              <w:snapToGrid/>
              <w:spacing w:line="240" w:lineRule="auto"/>
              <w:ind w:firstLine="0"/>
              <w:textAlignment w:val="auto"/>
              <w:rPr>
                <w:rFonts w:hint="eastAsia" w:ascii="方正仿宋_GBK" w:hAnsi="方正仿宋_GBK" w:eastAsia="方正仿宋_GBK" w:cs="方正仿宋_GBK"/>
                <w:color w:val="auto"/>
                <w:kern w:val="0"/>
                <w:sz w:val="18"/>
                <w:szCs w:val="18"/>
                <w:lang w:bidi="ar"/>
              </w:rPr>
            </w:pPr>
            <w:r>
              <w:rPr>
                <w:rFonts w:hint="eastAsia" w:ascii="方正仿宋_GBK" w:hAnsi="方正仿宋_GBK" w:eastAsia="方正仿宋_GBK" w:cs="方正仿宋_GBK"/>
                <w:color w:val="auto"/>
                <w:kern w:val="0"/>
                <w:sz w:val="18"/>
                <w:szCs w:val="18"/>
                <w:lang w:bidi="ar"/>
              </w:rPr>
              <w:t>3.安全生产岗位责任制、安全操作规程、突发事件应急预案、体育设施、设备、器材安全检查制度等安全保障制度是否上墙，安全保障措施是否有效。</w:t>
            </w:r>
          </w:p>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vertAlign w:val="baseline"/>
                <w:lang w:val="en-US" w:eastAsia="zh-CN" w:bidi="ar"/>
              </w:rPr>
            </w:pPr>
            <w:r>
              <w:rPr>
                <w:rFonts w:hint="eastAsia" w:ascii="方正仿宋_GBK" w:hAnsi="方正仿宋_GBK" w:eastAsia="方正仿宋_GBK" w:cs="方正仿宋_GBK"/>
                <w:color w:val="auto"/>
                <w:kern w:val="0"/>
                <w:sz w:val="18"/>
                <w:szCs w:val="18"/>
                <w:lang w:bidi="ar"/>
              </w:rPr>
              <w:t>（三）是否做好疫情防控的相关工作。</w:t>
            </w:r>
          </w:p>
        </w:tc>
        <w:tc>
          <w:tcPr>
            <w:tcW w:w="3744"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vertAlign w:val="baseline"/>
                <w:lang w:val="en-US" w:eastAsia="zh-CN" w:bidi="ar"/>
              </w:rPr>
            </w:pPr>
            <w:r>
              <w:rPr>
                <w:rFonts w:hint="eastAsia" w:ascii="方正仿宋_GBK" w:hAnsi="方正仿宋_GBK" w:eastAsia="方正仿宋_GBK" w:cs="方正仿宋_GBK"/>
                <w:color w:val="auto"/>
                <w:kern w:val="0"/>
                <w:sz w:val="18"/>
                <w:szCs w:val="18"/>
                <w:lang w:bidi="ar"/>
              </w:rPr>
              <w:t>《广东省高危险性体育项目经营活动管理规定》第十三条</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《经营高危险性体育项目许可管理办法》第十八条、第十九条</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《全民健身条例》第三十四条</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080" w:type="dxa"/>
            <w:vMerge w:val="restart"/>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vertAlign w:val="baseline"/>
                <w:lang w:val="en-US" w:eastAsia="zh-CN" w:bidi="ar"/>
              </w:rPr>
            </w:pPr>
            <w:r>
              <w:rPr>
                <w:rFonts w:hint="eastAsia" w:ascii="方正仿宋_GBK" w:hAnsi="方正仿宋_GBK" w:eastAsia="方正仿宋_GBK" w:cs="方正仿宋_GBK"/>
                <w:color w:val="auto"/>
                <w:kern w:val="0"/>
                <w:sz w:val="18"/>
                <w:szCs w:val="18"/>
                <w:lang w:eastAsia="zh-CN" w:bidi="ar"/>
              </w:rPr>
              <w:t>按照《全民健身条例》、《广东省全民健身条例》、《经营高危险性体育项目许可管理办法》、《广东省高危险性体育项目经营活动管理规定》、《体育场所开放条件与技术要求 第1部分：游泳场所 》、《公共场所卫生管理条例》等法律法规要求，开展公共场所</w:t>
            </w:r>
            <w:r>
              <w:rPr>
                <w:rFonts w:hint="eastAsia" w:ascii="方正仿宋_GBK" w:hAnsi="方正仿宋_GBK" w:eastAsia="方正仿宋_GBK" w:cs="方正仿宋_GBK"/>
                <w:color w:val="auto"/>
                <w:kern w:val="0"/>
                <w:sz w:val="18"/>
                <w:szCs w:val="18"/>
                <w:lang w:bidi="ar"/>
              </w:rPr>
              <w:t>安全生产专项监督检查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544" w:type="dxa"/>
            <w:vMerge w:val="continue"/>
            <w:vAlign w:val="center"/>
          </w:tcPr>
          <w:p>
            <w:pPr>
              <w:keepNext w:val="0"/>
              <w:keepLines w:val="0"/>
              <w:pageBreakBefore w:val="0"/>
              <w:widowControl w:val="0"/>
              <w:tabs>
                <w:tab w:val="left" w:pos="420"/>
              </w:tabs>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0"/>
                <w:sz w:val="18"/>
                <w:szCs w:val="18"/>
                <w:lang w:bidi="ar"/>
              </w:rPr>
            </w:pPr>
          </w:p>
        </w:tc>
        <w:tc>
          <w:tcPr>
            <w:tcW w:w="720"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bidi="ar"/>
              </w:rPr>
            </w:pPr>
          </w:p>
        </w:tc>
        <w:tc>
          <w:tcPr>
            <w:tcW w:w="672"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1008"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p>
        </w:tc>
        <w:tc>
          <w:tcPr>
            <w:tcW w:w="2032"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0"/>
                <w:sz w:val="18"/>
                <w:szCs w:val="18"/>
                <w:lang w:bidi="ar"/>
              </w:rPr>
            </w:pPr>
          </w:p>
        </w:tc>
        <w:tc>
          <w:tcPr>
            <w:tcW w:w="3744"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市卫生健康委</w:t>
            </w:r>
          </w:p>
        </w:tc>
        <w:tc>
          <w:tcPr>
            <w:tcW w:w="2080" w:type="dxa"/>
            <w:vMerge w:val="continue"/>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射击竞技体育运动监管检查</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各射击竞技体育运动单位</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市体育局</w:t>
            </w:r>
          </w:p>
        </w:tc>
        <w:tc>
          <w:tcPr>
            <w:tcW w:w="2032" w:type="dxa"/>
            <w:vAlign w:val="center"/>
          </w:tcPr>
          <w:p>
            <w:pPr>
              <w:keepNext w:val="0"/>
              <w:keepLines w:val="0"/>
              <w:pageBreakBefore w:val="0"/>
              <w:widowControl/>
              <w:kinsoku/>
              <w:wordWrap/>
              <w:overflowPunct/>
              <w:topLinePunct w:val="0"/>
              <w:autoSpaceDE/>
              <w:autoSpaceDN/>
              <w:bidi w:val="0"/>
              <w:spacing w:line="240" w:lineRule="auto"/>
              <w:jc w:val="left"/>
              <w:rPr>
                <w:rFonts w:hint="eastAsia" w:ascii="方正仿宋_GBK" w:hAnsi="方正仿宋_GBK" w:eastAsia="方正仿宋_GBK" w:cs="方正仿宋_GBK"/>
                <w:color w:val="auto"/>
                <w:kern w:val="0"/>
                <w:sz w:val="18"/>
                <w:szCs w:val="18"/>
                <w:vertAlign w:val="baseline"/>
                <w:lang w:val="en-US" w:eastAsia="zh-CN" w:bidi="ar"/>
              </w:rPr>
            </w:pPr>
            <w:r>
              <w:rPr>
                <w:rFonts w:hint="eastAsia" w:ascii="方正仿宋_GBK" w:hAnsi="方正仿宋_GBK" w:eastAsia="方正仿宋_GBK" w:cs="方正仿宋_GBK"/>
                <w:color w:val="auto"/>
                <w:kern w:val="0"/>
                <w:sz w:val="18"/>
                <w:szCs w:val="18"/>
                <w:lang w:bidi="ar"/>
              </w:rPr>
              <w:t>射击竞技体育运动单位枪支安全管理</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枪弹出入库登记、保管、领用制度，枪证</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一致、帐物</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相符，出入库记录</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有相关人员签名，保障签名</w:t>
            </w:r>
            <w:r>
              <w:rPr>
                <w:rFonts w:hint="eastAsia" w:ascii="方正仿宋_GBK" w:hAnsi="方正仿宋_GBK" w:eastAsia="方正仿宋_GBK" w:cs="方正仿宋_GBK"/>
                <w:color w:val="auto"/>
                <w:kern w:val="0"/>
                <w:sz w:val="18"/>
                <w:szCs w:val="18"/>
                <w:lang w:eastAsia="zh-CN" w:bidi="ar"/>
              </w:rPr>
              <w:t>是否</w:t>
            </w:r>
            <w:r>
              <w:rPr>
                <w:rFonts w:hint="eastAsia" w:ascii="方正仿宋_GBK" w:hAnsi="方正仿宋_GBK" w:eastAsia="方正仿宋_GBK" w:cs="方正仿宋_GBK"/>
                <w:color w:val="auto"/>
                <w:kern w:val="0"/>
                <w:sz w:val="18"/>
                <w:szCs w:val="18"/>
                <w:lang w:bidi="ar"/>
              </w:rPr>
              <w:t>清晰规范</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、场馆设施、从业人员、应急处置预案等</w:t>
            </w:r>
          </w:p>
        </w:tc>
        <w:tc>
          <w:tcPr>
            <w:tcW w:w="3744" w:type="dxa"/>
            <w:vAlign w:val="center"/>
          </w:tcPr>
          <w:p>
            <w:pPr>
              <w:keepNext w:val="0"/>
              <w:keepLines w:val="0"/>
              <w:pageBreakBefore w:val="0"/>
              <w:widowControl/>
              <w:kinsoku/>
              <w:wordWrap/>
              <w:overflowPunct/>
              <w:topLinePunct w:val="0"/>
              <w:autoSpaceDE/>
              <w:autoSpaceDN/>
              <w:bidi w:val="0"/>
              <w:spacing w:line="240" w:lineRule="auto"/>
              <w:jc w:val="left"/>
              <w:rPr>
                <w:rFonts w:hint="eastAsia" w:ascii="方正仿宋_GBK" w:hAnsi="方正仿宋_GBK" w:eastAsia="方正仿宋_GBK" w:cs="方正仿宋_GBK"/>
                <w:color w:val="auto"/>
                <w:kern w:val="0"/>
                <w:sz w:val="18"/>
                <w:szCs w:val="18"/>
                <w:vertAlign w:val="baseline"/>
                <w:lang w:val="en-US" w:eastAsia="zh-CN" w:bidi="ar"/>
              </w:rPr>
            </w:pPr>
            <w:r>
              <w:rPr>
                <w:rFonts w:hint="eastAsia" w:ascii="方正仿宋_GBK" w:hAnsi="方正仿宋_GBK" w:eastAsia="方正仿宋_GBK" w:cs="方正仿宋_GBK"/>
                <w:color w:val="auto"/>
                <w:kern w:val="0"/>
                <w:sz w:val="18"/>
                <w:szCs w:val="18"/>
                <w:lang w:bidi="ar"/>
              </w:rPr>
              <w:t>《射击竞技体育运动枪支管理办法》第二十四条</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民用枪支配置使用单位使用枪支情况检查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工业企业安全生产情况的检查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危险化学品生产企业、非煤矿山企业（含尾矿库）</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工业企业取得安全生产许可证情况的检查</w:t>
            </w:r>
            <w:r>
              <w:rPr>
                <w:rFonts w:hint="eastAsia" w:ascii="方正仿宋_GBK" w:hAnsi="方正仿宋_GBK" w:eastAsia="方正仿宋_GBK" w:cs="方正仿宋_GBK"/>
                <w:color w:val="auto"/>
                <w:kern w:val="0"/>
                <w:sz w:val="18"/>
                <w:szCs w:val="18"/>
                <w:lang w:eastAsia="zh-CN" w:bidi="ar"/>
              </w:rPr>
              <w:t>；</w:t>
            </w:r>
            <w:r>
              <w:rPr>
                <w:rFonts w:hint="eastAsia" w:ascii="方正仿宋_GBK" w:hAnsi="方正仿宋_GBK" w:eastAsia="方正仿宋_GBK" w:cs="方正仿宋_GBK"/>
                <w:color w:val="auto"/>
                <w:kern w:val="0"/>
                <w:sz w:val="18"/>
                <w:szCs w:val="18"/>
                <w:lang w:bidi="ar"/>
              </w:rPr>
              <w:t>工业企业安全生产有关制度设置、落实等情况的检查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《安全生产法》第三十九条、第六十三条、第六十五条</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对涉剧毒、易制毒危险化学品生产企业取得相关许可证情况检查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市规划和自然资源局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对非煤矿山企业（含尾矿库）取得相关许可证情况的检查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对列入工业产品生产许可证目录的危险化学品生产企业取得许可证情况的检查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市气象局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6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对涉防雷、气象灾害的危险化学品生产企业取得相关许可证情况的检查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出口商品生产企业的检查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出口</w:t>
            </w:r>
            <w:r>
              <w:rPr>
                <w:rFonts w:hint="eastAsia" w:ascii="方正仿宋_GBK" w:hAnsi="方正仿宋_GBK" w:eastAsia="方正仿宋_GBK" w:cs="方正仿宋_GBK"/>
                <w:color w:val="auto"/>
                <w:kern w:val="0"/>
                <w:sz w:val="18"/>
                <w:szCs w:val="18"/>
                <w:lang w:eastAsia="zh-CN" w:bidi="ar"/>
              </w:rPr>
              <w:t>商品生产</w:t>
            </w:r>
            <w:r>
              <w:rPr>
                <w:rFonts w:hint="eastAsia" w:ascii="方正仿宋_GBK" w:hAnsi="方正仿宋_GBK" w:eastAsia="方正仿宋_GBK" w:cs="方正仿宋_GBK"/>
                <w:color w:val="auto"/>
                <w:kern w:val="0"/>
                <w:sz w:val="18"/>
                <w:szCs w:val="18"/>
                <w:lang w:bidi="ar"/>
              </w:rPr>
              <w:t>企业</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广州海关、黄埔海关</w:t>
            </w: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出口备案食品生产企业核查</w:t>
            </w:r>
            <w:r>
              <w:rPr>
                <w:rFonts w:hint="eastAsia" w:ascii="方正仿宋_GBK" w:hAnsi="方正仿宋_GBK" w:eastAsia="方正仿宋_GBK" w:cs="方正仿宋_GBK"/>
                <w:color w:val="auto"/>
                <w:sz w:val="18"/>
                <w:szCs w:val="18"/>
                <w:lang w:eastAsia="zh-CN"/>
              </w:rPr>
              <w:t>；</w:t>
            </w:r>
            <w:r>
              <w:rPr>
                <w:rFonts w:hint="eastAsia" w:ascii="方正仿宋_GBK" w:hAnsi="方正仿宋_GBK" w:eastAsia="方正仿宋_GBK" w:cs="方正仿宋_GBK"/>
                <w:color w:val="auto"/>
                <w:sz w:val="18"/>
                <w:szCs w:val="18"/>
                <w:lang w:val="en-US" w:eastAsia="zh-CN"/>
              </w:rPr>
              <w:t>出口化妆品生产企业核查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《中华人民共和国海关法》《中华人民共和国进出口商品检验法》</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食品生产监督检查</w:t>
            </w:r>
            <w:r>
              <w:rPr>
                <w:rFonts w:hint="eastAsia" w:ascii="方正仿宋_GBK" w:hAnsi="方正仿宋_GBK" w:eastAsia="方正仿宋_GBK" w:cs="方正仿宋_GBK"/>
                <w:color w:val="auto"/>
                <w:sz w:val="18"/>
                <w:szCs w:val="18"/>
                <w:lang w:eastAsia="zh-CN"/>
              </w:rPr>
              <w:t>；</w:t>
            </w:r>
            <w:r>
              <w:rPr>
                <w:rFonts w:hint="eastAsia" w:ascii="方正仿宋_GBK" w:hAnsi="方正仿宋_GBK" w:eastAsia="方正仿宋_GBK" w:cs="方正仿宋_GBK"/>
                <w:color w:val="auto"/>
                <w:sz w:val="18"/>
                <w:szCs w:val="18"/>
              </w:rPr>
              <w:t>化妆品生产监督检查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国家税务总局广州市税务局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纳税人和扣缴义务人按期申报情况的检查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涉嫌税收违法当事人的抽查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涉嫌税收违法当事人</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国家税务总局广州税务局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依法检查纳税人、扣缴义务人和其他涉税当事人履行纳税人义务、扣缴税款义务情况及其他税法遵从情况</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《中华人民共和国税收征收管理法》、《中华人民共和国税收征收管理法实施细则》、《国家税务总局关于印发</w:t>
            </w:r>
            <w:r>
              <w:rPr>
                <w:rFonts w:hint="eastAsia" w:ascii="方正仿宋_GBK" w:hAnsi="方正仿宋_GBK" w:eastAsia="方正仿宋_GBK" w:cs="方正仿宋_GBK"/>
                <w:color w:val="auto"/>
                <w:sz w:val="18"/>
                <w:szCs w:val="18"/>
                <w:vertAlign w:val="baseline"/>
                <w:lang w:val="en-US" w:eastAsia="zh-CN"/>
              </w:rPr>
              <w:t>&lt;推进税务稽查随机抽查实施方案&gt;的通知</w:t>
            </w:r>
            <w:r>
              <w:rPr>
                <w:rFonts w:hint="eastAsia" w:ascii="方正仿宋_GBK" w:hAnsi="方正仿宋_GBK" w:eastAsia="方正仿宋_GBK" w:cs="方正仿宋_GBK"/>
                <w:color w:val="auto"/>
                <w:sz w:val="18"/>
                <w:szCs w:val="18"/>
                <w:vertAlign w:val="baseline"/>
                <w:lang w:eastAsia="zh-CN"/>
              </w:rPr>
              <w:t>》（税总发</w:t>
            </w:r>
            <w:r>
              <w:rPr>
                <w:rFonts w:hint="eastAsia" w:ascii="方正仿宋_GBK" w:hAnsi="方正仿宋_GBK" w:eastAsia="方正仿宋_GBK" w:cs="方正仿宋_GBK"/>
                <w:color w:val="auto"/>
                <w:sz w:val="18"/>
                <w:szCs w:val="18"/>
                <w:vertAlign w:val="baseline"/>
                <w:lang w:val="en-US" w:eastAsia="zh-CN"/>
              </w:rPr>
              <w:t>[2015]104号</w:t>
            </w:r>
            <w:r>
              <w:rPr>
                <w:rFonts w:hint="eastAsia" w:ascii="方正仿宋_GBK" w:hAnsi="方正仿宋_GBK" w:eastAsia="方正仿宋_GBK" w:cs="方正仿宋_GBK"/>
                <w:color w:val="auto"/>
                <w:sz w:val="18"/>
                <w:szCs w:val="18"/>
                <w:vertAlign w:val="baseline"/>
                <w:lang w:eastAsia="zh-CN"/>
              </w:rPr>
              <w:t>）</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市公安局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依法检查是否涉及虚开发票、假发票的情况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国家常规统计调查、部门统计调查、地方统计调查</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一套表联网直报企业</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市统计局</w:t>
            </w: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调查对象依法提供统计资料情况的检查、调查对象依法设置原始记录、统计台账情况的检查</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《中华人民共和国统计法》《中华人民共和国统计法实施条例》《统计执法监督检查办法》</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登记事项检查和公示信息检查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0"/>
                <w:sz w:val="18"/>
                <w:szCs w:val="18"/>
                <w:lang w:val="en-US" w:eastAsia="zh-CN" w:bidi="ar"/>
              </w:rPr>
            </w:pPr>
            <w:r>
              <w:rPr>
                <w:rFonts w:hint="eastAsia" w:ascii="方正仿宋_GBK" w:hAnsi="方正仿宋_GBK" w:eastAsia="方正仿宋_GBK" w:cs="方正仿宋_GBK"/>
                <w:color w:val="auto"/>
                <w:kern w:val="0"/>
                <w:sz w:val="18"/>
                <w:szCs w:val="18"/>
                <w:lang w:bidi="ar"/>
              </w:rPr>
              <w:t>对生产、销售无线电发射设备的行政检查</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生产、销售无线电发射设备的单位和个人</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市工业和信息化局</w:t>
            </w: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企业生产的无线电发射设备有无申请型号核准、标注型号核准代码，销售的无线电发射设备有无型号核准和备案</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《中华人民共和国无线电管理条例》（</w:t>
            </w:r>
            <w:r>
              <w:rPr>
                <w:rFonts w:hint="eastAsia" w:ascii="方正仿宋_GBK" w:hAnsi="方正仿宋_GBK" w:eastAsia="方正仿宋_GBK" w:cs="方正仿宋_GBK"/>
                <w:color w:val="auto"/>
                <w:sz w:val="18"/>
                <w:szCs w:val="18"/>
                <w:vertAlign w:val="baseline"/>
                <w:lang w:val="en-US" w:eastAsia="zh-CN"/>
              </w:rPr>
              <w:t>2016年国务院、中央军事委员会令第672号</w:t>
            </w:r>
            <w:r>
              <w:rPr>
                <w:rFonts w:hint="eastAsia" w:ascii="方正仿宋_GBK" w:hAnsi="方正仿宋_GBK" w:eastAsia="方正仿宋_GBK" w:cs="方正仿宋_GBK"/>
                <w:color w:val="auto"/>
                <w:sz w:val="18"/>
                <w:szCs w:val="18"/>
                <w:vertAlign w:val="baseline"/>
                <w:lang w:eastAsia="zh-CN"/>
              </w:rPr>
              <w:t>）第六十八条</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对销售的无线电发射设备是否标注厂名、厂址、执行标准进行检查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4"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司法鉴定机构、司法鉴定人检查</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取得市场监管部门核发资质认定（CMA）证书的司法鉴定机构</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市司法局</w:t>
            </w:r>
          </w:p>
        </w:tc>
        <w:tc>
          <w:tcPr>
            <w:tcW w:w="203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司法鉴定机构业务、文书、资质、队伍、收费等情况</w:t>
            </w:r>
            <w:r>
              <w:rPr>
                <w:rFonts w:hint="eastAsia" w:ascii="方正仿宋_GBK" w:hAnsi="方正仿宋_GBK" w:eastAsia="方正仿宋_GBK" w:cs="方正仿宋_GBK"/>
                <w:color w:val="auto"/>
                <w:kern w:val="0"/>
                <w:sz w:val="18"/>
                <w:szCs w:val="18"/>
                <w:lang w:eastAsia="zh-CN" w:bidi="ar"/>
              </w:rPr>
              <w:t>的检查</w:t>
            </w:r>
          </w:p>
        </w:tc>
        <w:tc>
          <w:tcPr>
            <w:tcW w:w="374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司法鉴定机构登记管理办法》、《司法鉴定人登记管理办法》、《全国人民代表大会常务委员会关于司法鉴定管理问题的决定》、《司法鉴定程序通则》《广东省发展改革委广东省司法厅关于司法鉴定收费的管理办法》、《广东省发展改革委广东省司法厅关于我省司法鉴定收费政策的通知》</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对收费情况进行检查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8"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生产建设项目水土保持方案监督检查</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生产建设单位</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市水务局</w:t>
            </w:r>
          </w:p>
        </w:tc>
        <w:tc>
          <w:tcPr>
            <w:tcW w:w="203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生产建设项目水土保持方案的落实情况等</w:t>
            </w:r>
          </w:p>
        </w:tc>
        <w:tc>
          <w:tcPr>
            <w:tcW w:w="374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水利部关于进一步深化“放管服”改革全面加强水土保持监管的意见》(水保(2019]160号)《广东省人民政府关于印发广东省企业投资项目分类管理和落地便利化改革实施方案的通知》粤府(2018]127号)、《广东省水利厅关于简化企业投资生产建设项目审批程序的通知》(粤水水保函(2019] 691号)、广东省水利厅关于印发《广东省水利厅关于企业投资生产建设项目水土保持方案检查办法(试行》的通知》等相关文件</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市交通运输局</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对建设工程安全管理落实情况的检查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val="0"/>
              <w:snapToGrid w:val="0"/>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bidi="ar"/>
              </w:rPr>
              <w:t>直接登记的社会服务机构抽查</w:t>
            </w:r>
          </w:p>
        </w:tc>
        <w:tc>
          <w:tcPr>
            <w:tcW w:w="72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直接登记的社会服务机构</w:t>
            </w:r>
          </w:p>
        </w:tc>
        <w:tc>
          <w:tcPr>
            <w:tcW w:w="67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市社会组织管理局</w:t>
            </w:r>
          </w:p>
        </w:tc>
        <w:tc>
          <w:tcPr>
            <w:tcW w:w="2032"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对法人治理、信息公开及遵守社会服务机构法规政策落实情况的检查</w:t>
            </w:r>
          </w:p>
        </w:tc>
        <w:tc>
          <w:tcPr>
            <w:tcW w:w="3744"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eastAsia="zh-CN"/>
              </w:rPr>
              <w:t>《民办非企业单位登记管理暂行条例》（1998年国务院令第251号）第五条、第六条、第十九条</w:t>
            </w:r>
          </w:p>
        </w:tc>
        <w:tc>
          <w:tcPr>
            <w:tcW w:w="104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80" w:type="dxa"/>
            <w:vAlign w:val="center"/>
          </w:tcPr>
          <w:p>
            <w:pPr>
              <w:keepNext w:val="0"/>
              <w:keepLines w:val="0"/>
              <w:pageBreakBefore w:val="0"/>
              <w:kinsoku/>
              <w:wordWrap/>
              <w:overflowPunct/>
              <w:topLinePunct w:val="0"/>
              <w:autoSpaceDE/>
              <w:autoSpaceDN/>
              <w:bidi w:val="0"/>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对建筑进行消防安全检查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燃气经营监督执法检查</w:t>
            </w:r>
          </w:p>
        </w:tc>
        <w:tc>
          <w:tcPr>
            <w:tcW w:w="720"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一般事项</w:t>
            </w:r>
          </w:p>
        </w:tc>
        <w:tc>
          <w:tcPr>
            <w:tcW w:w="2336"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燃气经营企业</w:t>
            </w:r>
          </w:p>
        </w:tc>
        <w:tc>
          <w:tcPr>
            <w:tcW w:w="672"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市城市管理和综合执法局</w:t>
            </w:r>
          </w:p>
        </w:tc>
        <w:tc>
          <w:tcPr>
            <w:tcW w:w="2032" w:type="dxa"/>
            <w:vMerge w:val="restart"/>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燃气许可证取得情况</w:t>
            </w:r>
            <w:r>
              <w:rPr>
                <w:rFonts w:hint="eastAsia" w:ascii="方正仿宋_GBK" w:hAnsi="方正仿宋_GBK" w:eastAsia="方正仿宋_GBK" w:cs="方正仿宋_GBK"/>
                <w:color w:val="auto"/>
                <w:kern w:val="0"/>
                <w:sz w:val="18"/>
                <w:szCs w:val="18"/>
                <w:lang w:eastAsia="zh-CN" w:bidi="ar"/>
              </w:rPr>
              <w:t>经营情况</w:t>
            </w:r>
            <w:r>
              <w:rPr>
                <w:rFonts w:hint="eastAsia" w:ascii="方正仿宋_GBK" w:hAnsi="方正仿宋_GBK" w:eastAsia="方正仿宋_GBK" w:cs="方正仿宋_GBK"/>
                <w:color w:val="auto"/>
                <w:kern w:val="0"/>
                <w:sz w:val="18"/>
                <w:szCs w:val="18"/>
                <w:lang w:bidi="ar"/>
              </w:rPr>
              <w:t>的检查</w:t>
            </w:r>
          </w:p>
        </w:tc>
        <w:tc>
          <w:tcPr>
            <w:tcW w:w="3744" w:type="dxa"/>
            <w:vMerge w:val="restart"/>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《城镇燃气管理条例》(2010年国务院令第583号，2016年国务院令第666号修改)第十五条、《广东省燃气管理条例》(2010年修订)第五、十三、十五条、《燃气经营许可管理办法》(原建城[2019] 3号)</w:t>
            </w:r>
          </w:p>
        </w:tc>
        <w:tc>
          <w:tcPr>
            <w:tcW w:w="1040"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pStyle w:val="9"/>
              <w:keepNext w:val="0"/>
              <w:keepLines w:val="0"/>
              <w:pageBreakBefore w:val="0"/>
              <w:widowControl w:val="0"/>
              <w:kinsoku/>
              <w:wordWrap/>
              <w:overflowPunct/>
              <w:autoSpaceDE/>
              <w:autoSpaceDN w:val="0"/>
              <w:bidi w:val="0"/>
              <w:adjustRightInd/>
              <w:snapToGrid/>
              <w:spacing w:line="240" w:lineRule="auto"/>
              <w:jc w:val="both"/>
              <w:textAlignment w:val="center"/>
              <w:rPr>
                <w:rFonts w:hint="eastAsia" w:ascii="方正仿宋_GBK" w:hAnsi="方正仿宋_GBK" w:eastAsia="方正仿宋_GBK" w:cs="方正仿宋_GBK"/>
                <w:bCs/>
                <w:color w:val="auto"/>
                <w:kern w:val="2"/>
                <w:sz w:val="18"/>
                <w:szCs w:val="18"/>
                <w:lang w:val="en-US" w:eastAsia="zh-CN" w:bidi="ar-SA"/>
              </w:rPr>
            </w:pPr>
            <w:r>
              <w:rPr>
                <w:rFonts w:hint="eastAsia" w:ascii="方正仿宋_GBK" w:hAnsi="方正仿宋_GBK" w:eastAsia="方正仿宋_GBK" w:cs="方正仿宋_GBK"/>
                <w:color w:val="auto"/>
                <w:sz w:val="18"/>
                <w:szCs w:val="18"/>
              </w:rPr>
              <w:t>对</w:t>
            </w:r>
            <w:r>
              <w:rPr>
                <w:rFonts w:hint="eastAsia" w:ascii="方正仿宋_GBK" w:hAnsi="方正仿宋_GBK" w:eastAsia="方正仿宋_GBK" w:cs="方正仿宋_GBK"/>
                <w:color w:val="auto"/>
                <w:sz w:val="18"/>
                <w:szCs w:val="18"/>
                <w:lang w:val="en-US" w:eastAsia="zh-CN"/>
              </w:rPr>
              <w:t>燃气充装单位</w:t>
            </w:r>
            <w:r>
              <w:rPr>
                <w:rFonts w:hint="eastAsia" w:ascii="方正仿宋_GBK" w:hAnsi="方正仿宋_GBK" w:eastAsia="方正仿宋_GBK" w:cs="方正仿宋_GBK"/>
                <w:color w:val="auto"/>
                <w:sz w:val="18"/>
                <w:szCs w:val="18"/>
              </w:rPr>
              <w:t>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autoSpaceDE/>
              <w:bidi w:val="0"/>
              <w:adjustRightInd/>
              <w:snapToGrid/>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市气象局</w:t>
            </w:r>
          </w:p>
        </w:tc>
        <w:tc>
          <w:tcPr>
            <w:tcW w:w="2080"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对企业防雷设施情况进行检查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544" w:type="dxa"/>
            <w:vMerge w:val="continue"/>
            <w:vAlign w:val="center"/>
          </w:tcPr>
          <w:p>
            <w:pPr>
              <w:keepNext w:val="0"/>
              <w:keepLines w:val="0"/>
              <w:pageBreakBefore w:val="0"/>
              <w:widowControl w:val="0"/>
              <w:kinsoku/>
              <w:wordWrap/>
              <w:overflowPunct/>
              <w:topLinePunct w:val="0"/>
              <w:autoSpaceDE/>
              <w:autoSpaceDN/>
              <w:bidi w:val="0"/>
              <w:adjustRightInd/>
              <w:snapToGrid/>
              <w:ind w:left="84" w:leftChars="40"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kinsoku/>
              <w:wordWrap/>
              <w:overflowPunct/>
              <w:autoSpaceDE/>
              <w:bidi w:val="0"/>
              <w:adjustRightInd/>
              <w:snapToGrid/>
              <w:spacing w:line="240" w:lineRule="auto"/>
              <w:jc w:val="left"/>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autoSpaceDE/>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市应急管理局</w:t>
            </w:r>
          </w:p>
        </w:tc>
        <w:tc>
          <w:tcPr>
            <w:tcW w:w="2080" w:type="dxa"/>
            <w:vAlign w:val="center"/>
          </w:tcPr>
          <w:p>
            <w:pPr>
              <w:pStyle w:val="9"/>
              <w:keepNext w:val="0"/>
              <w:keepLines w:val="0"/>
              <w:pageBreakBefore w:val="0"/>
              <w:widowControl w:val="0"/>
              <w:kinsoku/>
              <w:wordWrap/>
              <w:overflowPunct/>
              <w:autoSpaceDE/>
              <w:autoSpaceDN w:val="0"/>
              <w:bidi w:val="0"/>
              <w:adjustRightInd/>
              <w:snapToGrid/>
              <w:spacing w:line="240" w:lineRule="auto"/>
              <w:jc w:val="both"/>
              <w:textAlignment w:val="center"/>
              <w:rPr>
                <w:rFonts w:hint="eastAsia"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color w:val="auto"/>
                <w:sz w:val="18"/>
                <w:szCs w:val="18"/>
              </w:rPr>
              <w:t>企业落实安全生产责任制情况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8"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kinsoku/>
              <w:wordWrap/>
              <w:overflowPunct/>
              <w:topLinePunct w:val="0"/>
              <w:autoSpaceDE/>
              <w:autoSpaceDN/>
              <w:bidi w:val="0"/>
              <w:adjustRightInd/>
              <w:snapToGrid/>
              <w:spacing w:line="240" w:lineRule="auto"/>
              <w:jc w:val="both"/>
              <w:textAlignment w:val="center"/>
              <w:rPr>
                <w:rFonts w:hint="eastAsia" w:ascii="方正仿宋_GBK" w:hAnsi="方正仿宋_GBK" w:eastAsia="方正仿宋_GBK" w:cs="方正仿宋_GBK"/>
                <w:color w:val="auto"/>
                <w:kern w:val="2"/>
                <w:sz w:val="18"/>
                <w:szCs w:val="18"/>
                <w:lang w:val="en-US" w:eastAsia="zh-CN" w:bidi="ar-SA"/>
              </w:rPr>
            </w:pPr>
            <w:r>
              <w:rPr>
                <w:rFonts w:hint="eastAsia" w:ascii="方正仿宋_GBK" w:hAnsi="方正仿宋_GBK" w:eastAsia="方正仿宋_GBK" w:cs="方正仿宋_GBK"/>
                <w:color w:val="auto"/>
                <w:kern w:val="0"/>
                <w:sz w:val="18"/>
                <w:szCs w:val="18"/>
                <w:lang w:eastAsia="zh-CN" w:bidi="ar"/>
              </w:rPr>
              <w:t>烟草</w:t>
            </w:r>
            <w:r>
              <w:rPr>
                <w:rFonts w:hint="eastAsia" w:ascii="方正仿宋_GBK" w:hAnsi="方正仿宋_GBK" w:eastAsia="方正仿宋_GBK" w:cs="方正仿宋_GBK"/>
                <w:color w:val="auto"/>
                <w:kern w:val="0"/>
                <w:sz w:val="18"/>
                <w:szCs w:val="18"/>
                <w:lang w:bidi="ar"/>
              </w:rPr>
              <w:t>零售市场秩序日常检查</w:t>
            </w:r>
          </w:p>
        </w:tc>
        <w:tc>
          <w:tcPr>
            <w:tcW w:w="720"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持有烟草专卖零售许可证的企业和个人</w:t>
            </w:r>
          </w:p>
        </w:tc>
        <w:tc>
          <w:tcPr>
            <w:tcW w:w="672"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市烟草专卖局</w:t>
            </w:r>
          </w:p>
        </w:tc>
        <w:tc>
          <w:tcPr>
            <w:tcW w:w="2032"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eastAsia="zh-CN" w:bidi="ar"/>
              </w:rPr>
              <w:t>烟草</w:t>
            </w:r>
            <w:r>
              <w:rPr>
                <w:rFonts w:hint="eastAsia" w:ascii="方正仿宋_GBK" w:hAnsi="方正仿宋_GBK" w:eastAsia="方正仿宋_GBK" w:cs="方正仿宋_GBK"/>
                <w:color w:val="auto"/>
                <w:kern w:val="0"/>
                <w:sz w:val="18"/>
                <w:szCs w:val="18"/>
                <w:lang w:bidi="ar"/>
              </w:rPr>
              <w:t>专卖管理法律法规</w:t>
            </w:r>
            <w:r>
              <w:rPr>
                <w:rFonts w:hint="eastAsia" w:ascii="方正仿宋_GBK" w:hAnsi="方正仿宋_GBK" w:eastAsia="方正仿宋_GBK" w:cs="方正仿宋_GBK"/>
                <w:color w:val="auto"/>
                <w:kern w:val="0"/>
                <w:sz w:val="18"/>
                <w:szCs w:val="18"/>
                <w:lang w:eastAsia="zh-CN" w:bidi="ar"/>
              </w:rPr>
              <w:t>执行和</w:t>
            </w:r>
            <w:r>
              <w:rPr>
                <w:rFonts w:hint="eastAsia" w:ascii="方正仿宋_GBK" w:hAnsi="方正仿宋_GBK" w:eastAsia="方正仿宋_GBK" w:cs="方正仿宋_GBK"/>
                <w:color w:val="auto"/>
                <w:kern w:val="0"/>
                <w:sz w:val="18"/>
                <w:szCs w:val="18"/>
                <w:lang w:bidi="ar"/>
              </w:rPr>
              <w:t>规范经营情况</w:t>
            </w:r>
          </w:p>
        </w:tc>
        <w:tc>
          <w:tcPr>
            <w:tcW w:w="3744"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《烟草专卖法》、《烟草专卖法实施条例》、《烟草专卖许可证管理法》</w:t>
            </w:r>
          </w:p>
        </w:tc>
        <w:tc>
          <w:tcPr>
            <w:tcW w:w="1040"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kinsoku/>
              <w:wordWrap/>
              <w:overflowPunct/>
              <w:topLinePunct w:val="0"/>
              <w:autoSpaceDE/>
              <w:autoSpaceDN/>
              <w:bidi w:val="0"/>
              <w:adjustRightInd/>
              <w:snapToGrid/>
              <w:spacing w:line="240" w:lineRule="auto"/>
              <w:jc w:val="both"/>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对注册商标使用情况的监督检查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trPr>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消防安全检查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消防产品</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消防产品质量监督检查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val="en-US" w:eastAsia="zh-CN"/>
              </w:rPr>
            </w:pPr>
            <w:r>
              <w:rPr>
                <w:rFonts w:hint="eastAsia" w:ascii="方正仿宋_GBK" w:hAnsi="方正仿宋_GBK" w:eastAsia="方正仿宋_GBK" w:cs="方正仿宋_GBK"/>
                <w:color w:val="auto"/>
                <w:sz w:val="18"/>
                <w:szCs w:val="18"/>
                <w:vertAlign w:val="baseline"/>
                <w:lang w:val="en-US" w:eastAsia="zh-CN"/>
              </w:rPr>
              <w:t>《中华人民共和国消防法》、《广东省实施&lt;中华人民共和国消防法&gt;办法》、《机关、团体、企业、视野单位消防安全管理规定》（公安部第61号令）、现行消防技术规范标准</w:t>
            </w:r>
          </w:p>
        </w:tc>
        <w:tc>
          <w:tcPr>
            <w:tcW w:w="10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rPr>
              <w:t>生产领域产品质量监督抽查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eastAsia="zh-CN"/>
              </w:rPr>
            </w:pPr>
          </w:p>
        </w:tc>
        <w:tc>
          <w:tcPr>
            <w:tcW w:w="139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0"/>
                <w:sz w:val="18"/>
                <w:szCs w:val="18"/>
                <w:lang w:bidi="ar"/>
              </w:rPr>
              <w:t>消防监督抽查</w:t>
            </w:r>
          </w:p>
        </w:tc>
        <w:tc>
          <w:tcPr>
            <w:tcW w:w="720"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消防安全重点单位中的星级酒店</w:t>
            </w:r>
          </w:p>
        </w:tc>
        <w:tc>
          <w:tcPr>
            <w:tcW w:w="672"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市消防救援支队</w:t>
            </w:r>
          </w:p>
        </w:tc>
        <w:tc>
          <w:tcPr>
            <w:tcW w:w="2032" w:type="dxa"/>
            <w:vMerge w:val="restart"/>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对消防安全责任人履责情况，消防安全管理人履责情况，消防档案建立情况，行政审批办理情况，防火巡查、检查落实情况，消防(控制室)值班情况，火灾隐患整改落实情况，安全疏散设施管理，用火、用电安全管理，重点部位管理情况，消|防设施、器材管理情况，消防安全教育培训情况，消防组织建设情况，灭火和应急疏散准备情况的检查</w:t>
            </w:r>
          </w:p>
        </w:tc>
        <w:tc>
          <w:tcPr>
            <w:tcW w:w="3744"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《中华人民共和国消防法》、《广东省实施&lt; 中华人民共和国消防法&gt;办法》、《机关、团体、企业、事业单位消防安全管理规定》(公安部令第61号)、现行消防技术规范标准</w:t>
            </w: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市文化广电旅游局</w:t>
            </w:r>
          </w:p>
        </w:tc>
        <w:tc>
          <w:tcPr>
            <w:tcW w:w="2080" w:type="dxa"/>
            <w:vAlign w:val="center"/>
          </w:tcPr>
          <w:p>
            <w:pPr>
              <w:keepNext w:val="0"/>
              <w:keepLines w:val="0"/>
              <w:pageBreakBefore w:val="0"/>
              <w:widowControl w:val="0"/>
              <w:kinsoku/>
              <w:wordWrap/>
              <w:overflowPunct/>
              <w:autoSpaceDE/>
              <w:autoSpaceDN/>
              <w:bidi w:val="0"/>
              <w:adjustRightInd/>
              <w:snapToGrid/>
              <w:spacing w:line="240" w:lineRule="exact"/>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kern w:val="2"/>
                <w:sz w:val="18"/>
                <w:szCs w:val="18"/>
                <w:vertAlign w:val="baseline"/>
                <w:lang w:val="en-US" w:eastAsia="zh-CN" w:bidi="ar-SA"/>
              </w:rPr>
              <w:t>参与消防安全督导检查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8" w:hRule="atLeast"/>
        </w:trPr>
        <w:tc>
          <w:tcPr>
            <w:tcW w:w="544" w:type="dxa"/>
            <w:vMerge w:val="continue"/>
          </w:tcPr>
          <w:p>
            <w:pPr>
              <w:keepNext w:val="0"/>
              <w:keepLines w:val="0"/>
              <w:pageBreakBefore w:val="0"/>
              <w:widowControl w:val="0"/>
              <w:kinsoku/>
              <w:wordWrap/>
              <w:overflowPunct/>
              <w:topLinePunct w:val="0"/>
              <w:autoSpaceDE/>
              <w:autoSpaceDN/>
              <w:bidi w:val="0"/>
              <w:adjustRightInd/>
              <w:snapToGrid/>
              <w:ind w:left="84" w:leftChars="40" w:firstLineChars="0"/>
              <w:jc w:val="left"/>
              <w:textAlignment w:val="auto"/>
              <w:rPr>
                <w:rFonts w:hint="eastAsia" w:ascii="方正仿宋_GBK" w:hAnsi="方正仿宋_GBK" w:eastAsia="方正仿宋_GBK" w:cs="方正仿宋_GBK"/>
                <w:color w:val="auto"/>
                <w:sz w:val="32"/>
                <w:szCs w:val="32"/>
                <w:vertAlign w:val="baseline"/>
                <w:lang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消防安全重点单位中的高层公共建筑（物业服务企业管理）</w:t>
            </w: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tcPr>
          <w:p>
            <w:pPr>
              <w:keepNext w:val="0"/>
              <w:keepLines w:val="0"/>
              <w:pageBreakBefore w:val="0"/>
              <w:widowControl w:val="0"/>
              <w:kinsoku/>
              <w:wordWrap/>
              <w:overflowPunct/>
              <w:autoSpaceDE/>
              <w:autoSpaceDN/>
              <w:bidi w:val="0"/>
              <w:adjustRightInd/>
              <w:snapToGrid/>
              <w:spacing w:line="240" w:lineRule="auto"/>
              <w:jc w:val="left"/>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市住房城乡建设局</w:t>
            </w:r>
          </w:p>
        </w:tc>
        <w:tc>
          <w:tcPr>
            <w:tcW w:w="2080"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auto"/>
              <w:ind w:left="0" w:leftChars="0" w:firstLine="0" w:firstLineChars="0"/>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lang w:val="en-US" w:eastAsia="zh-CN"/>
              </w:rPr>
              <w:t>消防安全责任人履贵情况；消防安全管理人履责情况；消防档案建立情况；行政审批办理情况；防火巡查、检查落实情况；消防 (控制室)值班情况；火灾隐患整改落实情况；安全疏做设施管理；用火、用电安全管理；重点部位管理情况；消防设施、器材管理情况；消防安全教育培训情况；消防组织建设情况；灭火和应急疏散准备情况等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default" w:ascii="方正仿宋_GBK" w:hAnsi="方正仿宋_GBK" w:eastAsia="方正仿宋_GBK" w:cs="方正仿宋_GBK"/>
                <w:color w:val="auto"/>
                <w:sz w:val="18"/>
                <w:szCs w:val="18"/>
                <w:vertAlign w:val="baseline"/>
                <w:lang w:val="en-US"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rPr>
              <w:t>第一类消毒器械生产企</w:t>
            </w:r>
            <w:r>
              <w:rPr>
                <w:rFonts w:hint="eastAsia" w:ascii="方正仿宋_GBK" w:hAnsi="方正仿宋_GBK" w:eastAsia="方正仿宋_GBK" w:cs="方正仿宋_GBK"/>
                <w:color w:val="auto"/>
                <w:sz w:val="18"/>
                <w:szCs w:val="18"/>
                <w:lang w:eastAsia="zh-CN"/>
              </w:rPr>
              <w:t>业检查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rPr>
              <w:t>我市第一类消毒器械生产企业（同时持有《消毒产品生产企业卫生许可证》和《第一类医疗器械生产备案凭证》）</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市卫生健康委</w:t>
            </w:r>
          </w:p>
        </w:tc>
        <w:tc>
          <w:tcPr>
            <w:tcW w:w="2032"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color w:val="auto"/>
                <w:sz w:val="18"/>
                <w:szCs w:val="18"/>
              </w:rPr>
              <w:t>生产条件、生产过程、原料卫生质量以及消毒产品卫生安全评价报告、标签（铭牌）、说明书等。重点检查生产设施、出厂检验报告和生产记录等。</w:t>
            </w:r>
          </w:p>
        </w:tc>
        <w:tc>
          <w:tcPr>
            <w:tcW w:w="3744"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lang w:eastAsia="zh-CN"/>
              </w:rPr>
            </w:pPr>
            <w:r>
              <w:rPr>
                <w:rFonts w:hint="eastAsia" w:ascii="方正仿宋_GBK" w:hAnsi="方正仿宋_GBK" w:eastAsia="方正仿宋_GBK" w:cs="方正仿宋_GBK"/>
                <w:color w:val="auto"/>
                <w:sz w:val="18"/>
                <w:szCs w:val="18"/>
              </w:rPr>
              <w:t>《消毒管理办法》第三十一条、第三十二条、第三十六条，《传染病防治法》第七十三条第（三）项</w:t>
            </w: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市市场监管局</w:t>
            </w:r>
          </w:p>
        </w:tc>
        <w:tc>
          <w:tcPr>
            <w:tcW w:w="2080" w:type="dxa"/>
            <w:vAlign w:val="center"/>
          </w:tcPr>
          <w:p>
            <w:pPr>
              <w:pStyle w:val="5"/>
              <w:keepNext w:val="0"/>
              <w:keepLines w:val="0"/>
              <w:pageBreakBefore w:val="0"/>
              <w:widowControl w:val="0"/>
              <w:kinsoku/>
              <w:wordWrap/>
              <w:overflowPunct/>
              <w:topLinePunct/>
              <w:autoSpaceDE/>
              <w:autoSpaceDN/>
              <w:bidi w:val="0"/>
              <w:adjustRightInd/>
              <w:snapToGrid/>
              <w:spacing w:beforeLines="0" w:afterLines="0" w:line="240" w:lineRule="exact"/>
              <w:ind w:left="0" w:leftChars="0" w:firstLine="0" w:firstLineChars="0"/>
              <w:jc w:val="both"/>
              <w:textAlignment w:val="auto"/>
              <w:rPr>
                <w:rFonts w:hint="default" w:ascii="方正仿宋_GBK" w:hAnsi="方正仿宋_GBK" w:eastAsia="方正仿宋_GBK" w:cs="方正仿宋_GBK"/>
                <w:color w:val="auto"/>
                <w:sz w:val="18"/>
                <w:szCs w:val="18"/>
                <w:lang w:val="en-US" w:eastAsia="zh-CN"/>
              </w:rPr>
            </w:pPr>
            <w:r>
              <w:rPr>
                <w:rFonts w:hint="eastAsia" w:ascii="方正仿宋_GBK" w:hAnsi="方正仿宋_GBK" w:eastAsia="方正仿宋_GBK" w:cs="方正仿宋_GBK"/>
                <w:b w:val="0"/>
                <w:bCs/>
                <w:color w:val="auto"/>
                <w:sz w:val="18"/>
                <w:szCs w:val="18"/>
              </w:rPr>
              <w:t>医疗器械生产监督检查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default" w:ascii="方正仿宋_GBK" w:hAnsi="方正仿宋_GBK" w:eastAsia="方正仿宋_GBK" w:cs="方正仿宋_GBK"/>
                <w:color w:val="auto"/>
                <w:sz w:val="18"/>
                <w:szCs w:val="18"/>
                <w:vertAlign w:val="baseline"/>
                <w:lang w:val="en-US"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b w:val="0"/>
                <w:i w:val="0"/>
                <w:color w:val="auto"/>
                <w:kern w:val="0"/>
                <w:sz w:val="18"/>
                <w:szCs w:val="18"/>
                <w:lang w:val="en-US" w:eastAsia="zh-CN" w:bidi="ar"/>
              </w:rPr>
              <w:t>气象灾害防御重点单位抽查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rPr>
            </w:pPr>
            <w:r>
              <w:rPr>
                <w:rFonts w:hint="eastAsia" w:ascii="方正仿宋_GBK" w:hAnsi="方正仿宋_GBK" w:eastAsia="方正仿宋_GBK" w:cs="方正仿宋_GBK"/>
                <w:b w:val="0"/>
                <w:i w:val="0"/>
                <w:color w:val="auto"/>
                <w:kern w:val="0"/>
                <w:sz w:val="18"/>
                <w:szCs w:val="18"/>
                <w:lang w:val="en-US" w:eastAsia="zh-CN" w:bidi="ar"/>
              </w:rPr>
              <w:t>气象灾害防御重点单位信息库</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市气象局</w:t>
            </w:r>
          </w:p>
        </w:tc>
        <w:tc>
          <w:tcPr>
            <w:tcW w:w="2032" w:type="dxa"/>
            <w:vAlign w:val="center"/>
          </w:tcPr>
          <w:p>
            <w:pPr>
              <w:keepNext w:val="0"/>
              <w:keepLines w:val="0"/>
              <w:widowControl/>
              <w:suppressLineNumbers w:val="0"/>
              <w:jc w:val="left"/>
              <w:rPr>
                <w:rFonts w:hint="eastAsia"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i w:val="0"/>
                <w:color w:val="auto"/>
                <w:kern w:val="0"/>
                <w:sz w:val="18"/>
                <w:szCs w:val="18"/>
                <w:lang w:val="en-US" w:eastAsia="zh-CN" w:bidi="ar"/>
              </w:rPr>
              <w:t>气象灾害防御重点单位的监督检查</w:t>
            </w: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color w:val="auto"/>
                <w:sz w:val="18"/>
                <w:szCs w:val="18"/>
              </w:rPr>
            </w:pP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《广东省气象灾害防御条例》第十七条、《广东省气象灾害防御重点单位气象安全管理办法》第二十八条</w:t>
            </w: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市应急管理局</w:t>
            </w:r>
          </w:p>
        </w:tc>
        <w:tc>
          <w:tcPr>
            <w:tcW w:w="2080" w:type="dxa"/>
            <w:vAlign w:val="center"/>
          </w:tcPr>
          <w:p>
            <w:pPr>
              <w:keepNext w:val="0"/>
              <w:keepLines w:val="0"/>
              <w:widowControl/>
              <w:suppressLineNumbers w:val="0"/>
              <w:jc w:val="left"/>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i w:val="0"/>
                <w:color w:val="auto"/>
                <w:kern w:val="0"/>
                <w:sz w:val="18"/>
                <w:szCs w:val="18"/>
                <w:lang w:val="en-US" w:eastAsia="zh-CN" w:bidi="ar"/>
              </w:rPr>
              <w:t>安全生产培训、隐患制度排查、安全生产主体责任制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val="en-US" w:eastAsia="zh-CN"/>
              </w:rPr>
            </w:pPr>
          </w:p>
        </w:tc>
        <w:tc>
          <w:tcPr>
            <w:tcW w:w="139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bCs w:val="0"/>
                <w:color w:val="auto"/>
                <w:sz w:val="18"/>
                <w:szCs w:val="18"/>
                <w:highlight w:val="none"/>
                <w:lang w:val="en-US" w:eastAsia="zh-CN"/>
              </w:rPr>
              <w:t>定点医疗机构检查</w:t>
            </w:r>
          </w:p>
        </w:tc>
        <w:tc>
          <w:tcPr>
            <w:tcW w:w="7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i w:val="0"/>
                <w:color w:val="auto"/>
                <w:kern w:val="0"/>
                <w:sz w:val="18"/>
                <w:szCs w:val="18"/>
                <w:lang w:val="en-US" w:eastAsia="zh-CN" w:bidi="ar"/>
              </w:rPr>
            </w:pPr>
            <w:r>
              <w:rPr>
                <w:rFonts w:hint="eastAsia" w:ascii="方正仿宋_GBK" w:hAnsi="方正仿宋_GBK" w:eastAsia="方正仿宋_GBK" w:cs="方正仿宋_GBK"/>
                <w:b w:val="0"/>
                <w:bCs w:val="0"/>
                <w:color w:val="auto"/>
                <w:sz w:val="18"/>
                <w:szCs w:val="18"/>
                <w:highlight w:val="none"/>
                <w:lang w:val="en-US" w:eastAsia="zh-CN"/>
              </w:rPr>
              <w:t>全部定点医疗机构</w:t>
            </w:r>
          </w:p>
        </w:tc>
        <w:tc>
          <w:tcPr>
            <w:tcW w:w="67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kern w:val="2"/>
                <w:sz w:val="18"/>
                <w:szCs w:val="18"/>
                <w:vertAlign w:val="baseline"/>
                <w:lang w:val="en-US" w:eastAsia="zh-CN" w:bidi="ar-SA"/>
              </w:rPr>
            </w:pPr>
            <w:r>
              <w:rPr>
                <w:rFonts w:hint="eastAsia" w:ascii="方正仿宋_GBK" w:hAnsi="方正仿宋_GBK" w:eastAsia="方正仿宋_GBK" w:cs="方正仿宋_GBK"/>
                <w:b w:val="0"/>
                <w:bCs w:val="0"/>
                <w:color w:val="auto"/>
                <w:sz w:val="18"/>
                <w:szCs w:val="18"/>
                <w:highlight w:val="none"/>
                <w:lang w:val="en-US" w:eastAsia="zh-CN"/>
              </w:rPr>
              <w:t>市医保局</w:t>
            </w:r>
          </w:p>
        </w:tc>
        <w:tc>
          <w:tcPr>
            <w:tcW w:w="203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color w:val="auto"/>
                <w:sz w:val="18"/>
                <w:szCs w:val="18"/>
              </w:rPr>
            </w:pPr>
            <w:r>
              <w:rPr>
                <w:rFonts w:hint="eastAsia" w:ascii="方正仿宋_GBK" w:hAnsi="方正仿宋_GBK" w:eastAsia="方正仿宋_GBK" w:cs="方正仿宋_GBK"/>
                <w:b w:val="0"/>
                <w:bCs w:val="0"/>
                <w:color w:val="auto"/>
                <w:sz w:val="18"/>
                <w:szCs w:val="18"/>
                <w:highlight w:val="none"/>
                <w:lang w:val="en-US" w:eastAsia="zh-CN"/>
              </w:rPr>
              <w:t>定点医疗机构医疗保障基金使用的检查</w:t>
            </w:r>
          </w:p>
        </w:tc>
        <w:tc>
          <w:tcPr>
            <w:tcW w:w="374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《医疗保障基金使用监督管理条例》第十五条、第三十八条</w:t>
            </w: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vertAlign w:val="baseline"/>
                <w:lang w:eastAsia="zh-CN"/>
              </w:rPr>
            </w:pPr>
            <w:r>
              <w:rPr>
                <w:rFonts w:hint="eastAsia" w:ascii="方正仿宋_GBK" w:hAnsi="方正仿宋_GBK" w:eastAsia="方正仿宋_GBK" w:cs="方正仿宋_GBK"/>
                <w:color w:val="auto"/>
                <w:sz w:val="18"/>
                <w:szCs w:val="18"/>
                <w:vertAlign w:val="baseline"/>
                <w:lang w:eastAsia="zh-CN"/>
              </w:rPr>
              <w:t>市卫生健康委</w:t>
            </w:r>
          </w:p>
        </w:tc>
        <w:tc>
          <w:tcPr>
            <w:tcW w:w="2080"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对定点医疗机构的医疗质量检查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restart"/>
            <w:vAlign w:val="center"/>
          </w:tcPr>
          <w:p>
            <w:pPr>
              <w:keepNext w:val="0"/>
              <w:keepLines w:val="0"/>
              <w:pageBreakBefore w:val="0"/>
              <w:widowControl w:val="0"/>
              <w:numPr>
                <w:ilvl w:val="0"/>
                <w:numId w:val="1"/>
              </w:numPr>
              <w:kinsoku/>
              <w:wordWrap/>
              <w:overflowPunct/>
              <w:topLinePunct w:val="0"/>
              <w:autoSpaceDE/>
              <w:autoSpaceDN/>
              <w:bidi w:val="0"/>
              <w:adjustRightInd/>
              <w:snapToGrid/>
              <w:ind w:left="509" w:leftChars="40" w:hanging="425" w:firstLineChars="0"/>
              <w:jc w:val="center"/>
              <w:textAlignment w:val="auto"/>
              <w:rPr>
                <w:rFonts w:hint="eastAsia" w:ascii="方正仿宋_GBK" w:hAnsi="方正仿宋_GBK" w:eastAsia="方正仿宋_GBK" w:cs="方正仿宋_GBK"/>
                <w:color w:val="auto"/>
                <w:sz w:val="18"/>
                <w:szCs w:val="18"/>
                <w:vertAlign w:val="baseline"/>
                <w:lang w:val="en-US" w:eastAsia="zh-CN"/>
              </w:rPr>
            </w:pPr>
          </w:p>
        </w:tc>
        <w:tc>
          <w:tcPr>
            <w:tcW w:w="139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用人单位检查</w:t>
            </w:r>
          </w:p>
        </w:tc>
        <w:tc>
          <w:tcPr>
            <w:tcW w:w="7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重点事项</w:t>
            </w:r>
          </w:p>
        </w:tc>
        <w:tc>
          <w:tcPr>
            <w:tcW w:w="2336" w:type="dxa"/>
            <w:vMerge w:val="restart"/>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参保人数10人以下，上年度申领生育津贴人数占总参保人数比例前一百名的用人单位</w:t>
            </w:r>
          </w:p>
        </w:tc>
        <w:tc>
          <w:tcPr>
            <w:tcW w:w="67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实地检查</w:t>
            </w:r>
          </w:p>
        </w:tc>
        <w:tc>
          <w:tcPr>
            <w:tcW w:w="1008"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kern w:val="2"/>
                <w:sz w:val="18"/>
                <w:szCs w:val="18"/>
                <w:vertAlign w:val="baseline"/>
                <w:lang w:val="en-US" w:eastAsia="zh-CN" w:bidi="ar-SA"/>
              </w:rPr>
            </w:pPr>
          </w:p>
        </w:tc>
        <w:tc>
          <w:tcPr>
            <w:tcW w:w="203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用人单位申办生育保险待遇合法性、真实性的检查</w:t>
            </w:r>
          </w:p>
        </w:tc>
        <w:tc>
          <w:tcPr>
            <w:tcW w:w="374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kern w:val="2"/>
                <w:sz w:val="18"/>
                <w:szCs w:val="18"/>
                <w:vertAlign w:val="baseline"/>
                <w:lang w:val="en-US" w:eastAsia="zh-CN" w:bidi="ar-SA"/>
              </w:rPr>
            </w:pPr>
            <w:r>
              <w:rPr>
                <w:rFonts w:hint="eastAsia" w:ascii="方正仿宋_GBK" w:hAnsi="方正仿宋_GBK" w:eastAsia="方正仿宋_GBK" w:cs="方正仿宋_GBK"/>
                <w:color w:val="auto"/>
                <w:sz w:val="18"/>
                <w:szCs w:val="18"/>
                <w:vertAlign w:val="baseline"/>
                <w:lang w:eastAsia="zh-CN"/>
              </w:rPr>
              <w:t>《广东省社会保险基金监督条例》第二十一条和《广东省职工生育保险规定》第二十七条、第三十二条</w:t>
            </w: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市税务局</w:t>
            </w:r>
          </w:p>
        </w:tc>
        <w:tc>
          <w:tcPr>
            <w:tcW w:w="2080"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用人单位社保缴费基数真实性的检查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4" w:type="dxa"/>
            <w:vMerge w:val="continue"/>
            <w:vAlign w:val="center"/>
          </w:tcPr>
          <w:p>
            <w:pPr>
              <w:jc w:val="center"/>
              <w:rPr>
                <w:rFonts w:hint="eastAsia" w:ascii="方正仿宋_GBK" w:hAnsi="方正仿宋_GBK" w:eastAsia="方正仿宋_GBK" w:cs="方正仿宋_GBK"/>
                <w:color w:val="auto"/>
                <w:sz w:val="18"/>
                <w:szCs w:val="18"/>
                <w:vertAlign w:val="baseline"/>
                <w:lang w:val="en-US" w:eastAsia="zh-CN"/>
              </w:rPr>
            </w:pPr>
          </w:p>
        </w:tc>
        <w:tc>
          <w:tcPr>
            <w:tcW w:w="139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p>
        </w:tc>
        <w:tc>
          <w:tcPr>
            <w:tcW w:w="72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336"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p>
        </w:tc>
        <w:tc>
          <w:tcPr>
            <w:tcW w:w="67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08" w:type="dxa"/>
            <w:vMerge w:val="continue"/>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203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p>
        </w:tc>
        <w:tc>
          <w:tcPr>
            <w:tcW w:w="374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方正仿宋_GBK" w:hAnsi="方正仿宋_GBK" w:eastAsia="方正仿宋_GBK" w:cs="方正仿宋_GBK"/>
                <w:color w:val="auto"/>
                <w:sz w:val="18"/>
                <w:szCs w:val="18"/>
                <w:vertAlign w:val="baseline"/>
                <w:lang w:eastAsia="zh-CN"/>
              </w:rPr>
            </w:pPr>
          </w:p>
        </w:tc>
        <w:tc>
          <w:tcPr>
            <w:tcW w:w="1040" w:type="dxa"/>
            <w:vAlign w:val="center"/>
          </w:tcPr>
          <w:p>
            <w:pPr>
              <w:keepNext w:val="0"/>
              <w:keepLines w:val="0"/>
              <w:pageBreakBefore w:val="0"/>
              <w:widowControl w:val="0"/>
              <w:kinsoku/>
              <w:wordWrap/>
              <w:overflowPunct/>
              <w:autoSpaceDE/>
              <w:autoSpaceDN/>
              <w:bidi w:val="0"/>
              <w:adjustRightInd/>
              <w:snapToGrid/>
              <w:spacing w:line="240" w:lineRule="auto"/>
              <w:jc w:val="both"/>
              <w:textAlignment w:val="auto"/>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市人力资源社会保障局</w:t>
            </w:r>
          </w:p>
        </w:tc>
        <w:tc>
          <w:tcPr>
            <w:tcW w:w="2080" w:type="dxa"/>
            <w:vAlign w:val="center"/>
          </w:tcPr>
          <w:p>
            <w:pPr>
              <w:keepNext w:val="0"/>
              <w:keepLines w:val="0"/>
              <w:widowControl/>
              <w:suppressLineNumbers w:val="0"/>
              <w:jc w:val="left"/>
              <w:rPr>
                <w:rFonts w:hint="eastAsia" w:ascii="方正仿宋_GBK" w:hAnsi="方正仿宋_GBK" w:eastAsia="方正仿宋_GBK" w:cs="方正仿宋_GBK"/>
                <w:b w:val="0"/>
                <w:bCs w:val="0"/>
                <w:color w:val="auto"/>
                <w:sz w:val="18"/>
                <w:szCs w:val="18"/>
                <w:highlight w:val="none"/>
                <w:lang w:val="en-US" w:eastAsia="zh-CN"/>
              </w:rPr>
            </w:pPr>
            <w:r>
              <w:rPr>
                <w:rFonts w:hint="eastAsia" w:ascii="方正仿宋_GBK" w:hAnsi="方正仿宋_GBK" w:eastAsia="方正仿宋_GBK" w:cs="方正仿宋_GBK"/>
                <w:b w:val="0"/>
                <w:bCs w:val="0"/>
                <w:color w:val="auto"/>
                <w:sz w:val="18"/>
                <w:szCs w:val="18"/>
                <w:highlight w:val="none"/>
                <w:lang w:val="en-US" w:eastAsia="zh-CN"/>
              </w:rPr>
              <w:t>用人单位与员工劳动关系真实性的监督检查</w:t>
            </w:r>
          </w:p>
        </w:tc>
      </w:tr>
    </w:tbl>
    <w:p>
      <w:pPr>
        <w:jc w:val="left"/>
        <w:rPr>
          <w:rFonts w:hint="eastAsia" w:ascii="方正仿宋_GBK" w:hAnsi="方正仿宋_GBK" w:eastAsia="方正仿宋_GBK" w:cs="方正仿宋_GBK"/>
          <w:color w:val="auto"/>
          <w:sz w:val="32"/>
          <w:szCs w:val="32"/>
          <w:lang w:eastAsia="zh-CN"/>
        </w:rPr>
      </w:pPr>
    </w:p>
    <w:p>
      <w:pPr>
        <w:jc w:val="left"/>
        <w:rPr>
          <w:rFonts w:hint="eastAsia" w:ascii="方正仿宋_GBK" w:hAnsi="方正仿宋_GBK" w:eastAsia="方正仿宋_GBK" w:cs="方正仿宋_GBK"/>
          <w:color w:val="auto"/>
          <w:sz w:val="32"/>
          <w:szCs w:val="32"/>
          <w:lang w:eastAsia="zh-CN"/>
        </w:rPr>
      </w:pPr>
    </w:p>
    <w:p>
      <w:pPr>
        <w:rPr>
          <w:color w:val="auto"/>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创艺简楷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5DF594"/>
    <w:multiLevelType w:val="singleLevel"/>
    <w:tmpl w:val="235DF594"/>
    <w:lvl w:ilvl="0" w:tentative="0">
      <w:start w:val="1"/>
      <w:numFmt w:val="decimal"/>
      <w:lvlText w:val="%1"/>
      <w:lvlJc w:val="left"/>
      <w:pPr>
        <w:tabs>
          <w:tab w:val="left" w:pos="420"/>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7269E"/>
    <w:rsid w:val="004E2CF6"/>
    <w:rsid w:val="00784A92"/>
    <w:rsid w:val="00DA122C"/>
    <w:rsid w:val="00E1330F"/>
    <w:rsid w:val="010E309F"/>
    <w:rsid w:val="01443B55"/>
    <w:rsid w:val="01C124B4"/>
    <w:rsid w:val="02AE187A"/>
    <w:rsid w:val="03193FE7"/>
    <w:rsid w:val="033943B7"/>
    <w:rsid w:val="03910F4F"/>
    <w:rsid w:val="03DC68BD"/>
    <w:rsid w:val="03E463FA"/>
    <w:rsid w:val="03ED1E5C"/>
    <w:rsid w:val="04B74993"/>
    <w:rsid w:val="04E308A0"/>
    <w:rsid w:val="04FC31CE"/>
    <w:rsid w:val="070B1F03"/>
    <w:rsid w:val="07445D8F"/>
    <w:rsid w:val="07C447D5"/>
    <w:rsid w:val="07E16015"/>
    <w:rsid w:val="07F66533"/>
    <w:rsid w:val="082D04FB"/>
    <w:rsid w:val="084B7933"/>
    <w:rsid w:val="09AA2C80"/>
    <w:rsid w:val="09DD3AD4"/>
    <w:rsid w:val="09FC37B7"/>
    <w:rsid w:val="09FE7708"/>
    <w:rsid w:val="0A090747"/>
    <w:rsid w:val="0A6D3DBE"/>
    <w:rsid w:val="0AF429B3"/>
    <w:rsid w:val="0B26349C"/>
    <w:rsid w:val="0C613DF1"/>
    <w:rsid w:val="0C63299E"/>
    <w:rsid w:val="0C8B60C7"/>
    <w:rsid w:val="0D3C536B"/>
    <w:rsid w:val="0DFC0FA0"/>
    <w:rsid w:val="0E006E53"/>
    <w:rsid w:val="0E145438"/>
    <w:rsid w:val="0E4F0665"/>
    <w:rsid w:val="0EC72CC0"/>
    <w:rsid w:val="0F126C65"/>
    <w:rsid w:val="0F2D39DD"/>
    <w:rsid w:val="0FE53C3B"/>
    <w:rsid w:val="11B74518"/>
    <w:rsid w:val="11F54B07"/>
    <w:rsid w:val="124412B6"/>
    <w:rsid w:val="12D57D12"/>
    <w:rsid w:val="13594F26"/>
    <w:rsid w:val="13A94E1E"/>
    <w:rsid w:val="13B845AE"/>
    <w:rsid w:val="13E627C8"/>
    <w:rsid w:val="13E631E7"/>
    <w:rsid w:val="141464F2"/>
    <w:rsid w:val="14296607"/>
    <w:rsid w:val="1449738E"/>
    <w:rsid w:val="15A83A5A"/>
    <w:rsid w:val="16561D89"/>
    <w:rsid w:val="16894ED5"/>
    <w:rsid w:val="16A23265"/>
    <w:rsid w:val="16AD751D"/>
    <w:rsid w:val="17061C95"/>
    <w:rsid w:val="17BB0F79"/>
    <w:rsid w:val="1857492D"/>
    <w:rsid w:val="187E7DB4"/>
    <w:rsid w:val="18E82300"/>
    <w:rsid w:val="190B5D4D"/>
    <w:rsid w:val="198C0E7B"/>
    <w:rsid w:val="19D972FC"/>
    <w:rsid w:val="1A171E87"/>
    <w:rsid w:val="1AB7005F"/>
    <w:rsid w:val="1B5234D7"/>
    <w:rsid w:val="1B695822"/>
    <w:rsid w:val="1B9A34AA"/>
    <w:rsid w:val="1BC90ED0"/>
    <w:rsid w:val="1C9567D5"/>
    <w:rsid w:val="1F9820E1"/>
    <w:rsid w:val="200525F7"/>
    <w:rsid w:val="20B91FEE"/>
    <w:rsid w:val="211B637E"/>
    <w:rsid w:val="217B1CD7"/>
    <w:rsid w:val="21E2320B"/>
    <w:rsid w:val="22A26390"/>
    <w:rsid w:val="233E2C31"/>
    <w:rsid w:val="238B6EAB"/>
    <w:rsid w:val="23920B95"/>
    <w:rsid w:val="23F548DD"/>
    <w:rsid w:val="24136471"/>
    <w:rsid w:val="250C4810"/>
    <w:rsid w:val="255548C1"/>
    <w:rsid w:val="25582A03"/>
    <w:rsid w:val="279C2B80"/>
    <w:rsid w:val="28FC6A49"/>
    <w:rsid w:val="29B13A8B"/>
    <w:rsid w:val="2A6618BC"/>
    <w:rsid w:val="2ACD6EE1"/>
    <w:rsid w:val="2B04382A"/>
    <w:rsid w:val="2B96229A"/>
    <w:rsid w:val="2BEC3CA3"/>
    <w:rsid w:val="2CAF44C7"/>
    <w:rsid w:val="2CE65E69"/>
    <w:rsid w:val="2D9918EE"/>
    <w:rsid w:val="2EBC636D"/>
    <w:rsid w:val="2EED3E06"/>
    <w:rsid w:val="2EEF724B"/>
    <w:rsid w:val="2FBD1E95"/>
    <w:rsid w:val="30CE03CB"/>
    <w:rsid w:val="30E21C9E"/>
    <w:rsid w:val="32DD161B"/>
    <w:rsid w:val="32E54C03"/>
    <w:rsid w:val="34C96858"/>
    <w:rsid w:val="34F44704"/>
    <w:rsid w:val="3510602B"/>
    <w:rsid w:val="35311044"/>
    <w:rsid w:val="35F23C5B"/>
    <w:rsid w:val="36526246"/>
    <w:rsid w:val="368F109F"/>
    <w:rsid w:val="36F9533D"/>
    <w:rsid w:val="37D56900"/>
    <w:rsid w:val="38957C15"/>
    <w:rsid w:val="397D41AE"/>
    <w:rsid w:val="3AA6329A"/>
    <w:rsid w:val="3B2B6B9F"/>
    <w:rsid w:val="3CC9540C"/>
    <w:rsid w:val="3D394392"/>
    <w:rsid w:val="3D825061"/>
    <w:rsid w:val="3E251402"/>
    <w:rsid w:val="3E5B366E"/>
    <w:rsid w:val="3F1B0412"/>
    <w:rsid w:val="3F3D106E"/>
    <w:rsid w:val="3FAA2539"/>
    <w:rsid w:val="3FBC4573"/>
    <w:rsid w:val="3FD217F5"/>
    <w:rsid w:val="3FD42A44"/>
    <w:rsid w:val="4131346D"/>
    <w:rsid w:val="418F23F8"/>
    <w:rsid w:val="42356597"/>
    <w:rsid w:val="42EA5E70"/>
    <w:rsid w:val="437A410A"/>
    <w:rsid w:val="43800CE4"/>
    <w:rsid w:val="43D32984"/>
    <w:rsid w:val="4410234C"/>
    <w:rsid w:val="44132376"/>
    <w:rsid w:val="449C2C9E"/>
    <w:rsid w:val="44B13812"/>
    <w:rsid w:val="458F22EB"/>
    <w:rsid w:val="46FF254C"/>
    <w:rsid w:val="477661E3"/>
    <w:rsid w:val="482B26BF"/>
    <w:rsid w:val="4885262E"/>
    <w:rsid w:val="4ACD6C42"/>
    <w:rsid w:val="4D7504C7"/>
    <w:rsid w:val="4DAD30F2"/>
    <w:rsid w:val="4DC135A0"/>
    <w:rsid w:val="4DC9366D"/>
    <w:rsid w:val="4E4A35C2"/>
    <w:rsid w:val="4E7C4729"/>
    <w:rsid w:val="4E994648"/>
    <w:rsid w:val="4FE4020B"/>
    <w:rsid w:val="50E850F3"/>
    <w:rsid w:val="51114E0F"/>
    <w:rsid w:val="514A17F8"/>
    <w:rsid w:val="52F00988"/>
    <w:rsid w:val="53676AE0"/>
    <w:rsid w:val="53803192"/>
    <w:rsid w:val="53CD06A6"/>
    <w:rsid w:val="53E406BD"/>
    <w:rsid w:val="55253804"/>
    <w:rsid w:val="555C2DE0"/>
    <w:rsid w:val="56B05F8C"/>
    <w:rsid w:val="571A6920"/>
    <w:rsid w:val="575753F4"/>
    <w:rsid w:val="581F60A0"/>
    <w:rsid w:val="58F871D3"/>
    <w:rsid w:val="58FD65DE"/>
    <w:rsid w:val="593D336F"/>
    <w:rsid w:val="59866E2C"/>
    <w:rsid w:val="5A630A92"/>
    <w:rsid w:val="5A863CBF"/>
    <w:rsid w:val="5AD43F4D"/>
    <w:rsid w:val="5BB24C27"/>
    <w:rsid w:val="5BBF60B5"/>
    <w:rsid w:val="5C7319A6"/>
    <w:rsid w:val="5C7856F5"/>
    <w:rsid w:val="5CC20940"/>
    <w:rsid w:val="5CCA5245"/>
    <w:rsid w:val="5CCE747B"/>
    <w:rsid w:val="5D041018"/>
    <w:rsid w:val="5D560A3E"/>
    <w:rsid w:val="5D577316"/>
    <w:rsid w:val="5D797F08"/>
    <w:rsid w:val="5DB70170"/>
    <w:rsid w:val="5DE52876"/>
    <w:rsid w:val="5EB30A08"/>
    <w:rsid w:val="5EB81FED"/>
    <w:rsid w:val="5EFC1DB1"/>
    <w:rsid w:val="5FA6225D"/>
    <w:rsid w:val="5FBC42E1"/>
    <w:rsid w:val="5FC509AE"/>
    <w:rsid w:val="5FC57259"/>
    <w:rsid w:val="60666B2E"/>
    <w:rsid w:val="62063A96"/>
    <w:rsid w:val="62511C4F"/>
    <w:rsid w:val="62BD03AE"/>
    <w:rsid w:val="630268F7"/>
    <w:rsid w:val="63246294"/>
    <w:rsid w:val="64895567"/>
    <w:rsid w:val="64C53350"/>
    <w:rsid w:val="64CE4534"/>
    <w:rsid w:val="64CF5E45"/>
    <w:rsid w:val="65111B20"/>
    <w:rsid w:val="6514304E"/>
    <w:rsid w:val="657A563D"/>
    <w:rsid w:val="65DA36EF"/>
    <w:rsid w:val="66654553"/>
    <w:rsid w:val="66771CAF"/>
    <w:rsid w:val="66853C56"/>
    <w:rsid w:val="66C70CE6"/>
    <w:rsid w:val="66E71958"/>
    <w:rsid w:val="671B3CBE"/>
    <w:rsid w:val="672570AC"/>
    <w:rsid w:val="676A120A"/>
    <w:rsid w:val="677B3AB0"/>
    <w:rsid w:val="67A36E92"/>
    <w:rsid w:val="67BF31C7"/>
    <w:rsid w:val="683D4792"/>
    <w:rsid w:val="68D82454"/>
    <w:rsid w:val="6A2F38FC"/>
    <w:rsid w:val="6C23575F"/>
    <w:rsid w:val="6C69504A"/>
    <w:rsid w:val="6C8D2718"/>
    <w:rsid w:val="6CA70A43"/>
    <w:rsid w:val="6CD020C6"/>
    <w:rsid w:val="6CDD1011"/>
    <w:rsid w:val="6CEA6EEA"/>
    <w:rsid w:val="6D217A67"/>
    <w:rsid w:val="6D8A27AD"/>
    <w:rsid w:val="6D9E44BC"/>
    <w:rsid w:val="6DB909AB"/>
    <w:rsid w:val="6DD3673C"/>
    <w:rsid w:val="6DFD091C"/>
    <w:rsid w:val="6E0C350B"/>
    <w:rsid w:val="6E59491D"/>
    <w:rsid w:val="6F5A5879"/>
    <w:rsid w:val="6FC5464C"/>
    <w:rsid w:val="708B7BB4"/>
    <w:rsid w:val="72544693"/>
    <w:rsid w:val="733A731F"/>
    <w:rsid w:val="736414DC"/>
    <w:rsid w:val="737B44C5"/>
    <w:rsid w:val="737F5312"/>
    <w:rsid w:val="73F81571"/>
    <w:rsid w:val="73FE5399"/>
    <w:rsid w:val="74215141"/>
    <w:rsid w:val="74271327"/>
    <w:rsid w:val="746730D0"/>
    <w:rsid w:val="74F87525"/>
    <w:rsid w:val="75C34D83"/>
    <w:rsid w:val="76233765"/>
    <w:rsid w:val="76C83821"/>
    <w:rsid w:val="78517223"/>
    <w:rsid w:val="79A36A30"/>
    <w:rsid w:val="79BD0023"/>
    <w:rsid w:val="7A2A33F3"/>
    <w:rsid w:val="7A353D04"/>
    <w:rsid w:val="7A73418B"/>
    <w:rsid w:val="7A8C690E"/>
    <w:rsid w:val="7AEE51D6"/>
    <w:rsid w:val="7B5966CF"/>
    <w:rsid w:val="7B612D50"/>
    <w:rsid w:val="7C5E46A5"/>
    <w:rsid w:val="7C8B3C2C"/>
    <w:rsid w:val="7CBD3F41"/>
    <w:rsid w:val="7D257C79"/>
    <w:rsid w:val="7D346CE6"/>
    <w:rsid w:val="7D6A677B"/>
    <w:rsid w:val="7DC305F6"/>
    <w:rsid w:val="7E182699"/>
    <w:rsid w:val="7E4D372F"/>
    <w:rsid w:val="7E73509D"/>
    <w:rsid w:val="7EEA0021"/>
    <w:rsid w:val="7F1963DA"/>
    <w:rsid w:val="7F5F3ECF"/>
    <w:rsid w:val="7F885C04"/>
    <w:rsid w:val="7F904473"/>
    <w:rsid w:val="7FC46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line="640" w:lineRule="exact"/>
      <w:ind w:firstLine="570"/>
    </w:pPr>
    <w:rPr>
      <w:rFonts w:eastAsia="创艺简楷体"/>
      <w:sz w:val="28"/>
    </w:rPr>
  </w:style>
  <w:style w:type="paragraph" w:styleId="4">
    <w:name w:val="Normal Indent"/>
    <w:basedOn w:val="1"/>
    <w:qFormat/>
    <w:uiPriority w:val="0"/>
    <w:pPr>
      <w:ind w:firstLine="420" w:firstLineChars="200"/>
    </w:pPr>
    <w:rPr>
      <w:rFonts w:eastAsia="仿宋"/>
      <w:sz w:val="32"/>
    </w:rPr>
  </w:style>
  <w:style w:type="paragraph" w:styleId="5">
    <w:name w:val="Body Text Indent 2"/>
    <w:basedOn w:val="1"/>
    <w:qFormat/>
    <w:uiPriority w:val="0"/>
    <w:pPr>
      <w:topLinePunct/>
      <w:ind w:firstLine="560" w:firstLineChars="200"/>
    </w:pPr>
    <w:rPr>
      <w:rFonts w:ascii="宋体" w:hAnsi="宋体"/>
      <w:sz w:val="2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 New New New"/>
    <w:qFormat/>
    <w:uiPriority w:val="0"/>
    <w:pPr>
      <w:widowControl w:val="0"/>
      <w:jc w:val="both"/>
    </w:pPr>
    <w:rPr>
      <w:rFonts w:ascii="等线" w:hAnsi="等线" w:eastAsia="等线" w:cs="Times New Roman"/>
      <w:kern w:val="2"/>
      <w:sz w:val="21"/>
      <w:lang w:val="en-US" w:eastAsia="zh-CN" w:bidi="ar-SA"/>
    </w:rPr>
  </w:style>
  <w:style w:type="paragraph" w:customStyle="1" w:styleId="1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等线" w:hAnsi="等线" w:eastAsia="等线" w:cs="Times New Roman"/>
      <w:kern w:val="2"/>
      <w:sz w:val="21"/>
      <w:lang w:val="en-US" w:eastAsia="zh-CN" w:bidi="ar-SA"/>
    </w:rPr>
  </w:style>
  <w:style w:type="character" w:customStyle="1" w:styleId="11">
    <w:name w:val="font81"/>
    <w:qFormat/>
    <w:uiPriority w:val="0"/>
    <w:rPr>
      <w:rFonts w:hint="eastAsia" w:ascii="仿宋_GB2312" w:hAnsi="Times New Roman" w:eastAsia="仿宋_GB2312" w:cs="仿宋_GB2312"/>
      <w:color w:val="000000"/>
      <w:sz w:val="22"/>
      <w:szCs w:val="22"/>
      <w:u w:val="none"/>
    </w:rPr>
  </w:style>
  <w:style w:type="paragraph" w:customStyle="1" w:styleId="12">
    <w:name w:val="正文 New New"/>
    <w:qFormat/>
    <w:uiPriority w:val="0"/>
    <w:pPr>
      <w:widowControl w:val="0"/>
      <w:jc w:val="both"/>
    </w:pPr>
    <w:rPr>
      <w:rFonts w:ascii="Calibri" w:hAnsi="Calibri" w:eastAsia="宋体" w:cs="黑体"/>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dc:creator>
  <cp:lastModifiedBy>传入的名字</cp:lastModifiedBy>
  <cp:lastPrinted>2022-06-02T06:37:00Z</cp:lastPrinted>
  <dcterms:modified xsi:type="dcterms:W3CDTF">2022-09-06T06:19:23Z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