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val="0"/>
        <w:topLinePunct w:val="0"/>
        <w:autoSpaceDE/>
        <w:autoSpaceDN/>
        <w:bidi w:val="0"/>
        <w:adjustRightInd/>
        <w:snapToGrid w:val="0"/>
        <w:spacing w:line="620" w:lineRule="exact"/>
        <w:ind w:right="0"/>
        <w:jc w:val="center"/>
        <w:textAlignment w:val="auto"/>
        <w:rPr>
          <w:rFonts w:hint="default" w:ascii="Times New Roman" w:hAnsi="Times New Roman" w:eastAsia="方正小标宋_GBK" w:cs="Times New Roman"/>
          <w:b w:val="0"/>
          <w:bCs w:val="0"/>
          <w:sz w:val="44"/>
          <w:szCs w:val="44"/>
          <w:lang w:val="en-US" w:eastAsia="zh-CN"/>
        </w:rPr>
      </w:pPr>
      <w:r>
        <w:rPr>
          <w:rFonts w:hint="default" w:ascii="Times New Roman" w:hAnsi="Times New Roman" w:eastAsia="方正小标宋_GBK" w:cs="Times New Roman"/>
          <w:b w:val="0"/>
          <w:bCs w:val="0"/>
          <w:sz w:val="44"/>
          <w:szCs w:val="44"/>
          <w:lang w:eastAsia="zh-CN"/>
        </w:rPr>
        <mc:AlternateContent>
          <mc:Choice Requires="wps">
            <w:drawing>
              <wp:anchor distT="0" distB="0" distL="114300" distR="114300" simplePos="0" relativeHeight="251659264" behindDoc="0" locked="0" layoutInCell="1" allowOverlap="1">
                <wp:simplePos x="0" y="0"/>
                <wp:positionH relativeFrom="column">
                  <wp:posOffset>-502285</wp:posOffset>
                </wp:positionH>
                <wp:positionV relativeFrom="page">
                  <wp:posOffset>529590</wp:posOffset>
                </wp:positionV>
                <wp:extent cx="1095375" cy="436245"/>
                <wp:effectExtent l="4445" t="4445" r="5080" b="16510"/>
                <wp:wrapNone/>
                <wp:docPr id="1" name="文本框 1"/>
                <wp:cNvGraphicFramePr/>
                <a:graphic xmlns:a="http://schemas.openxmlformats.org/drawingml/2006/main">
                  <a:graphicData uri="http://schemas.microsoft.com/office/word/2010/wordprocessingShape">
                    <wps:wsp>
                      <wps:cNvSpPr txBox="1"/>
                      <wps:spPr>
                        <a:xfrm>
                          <a:off x="0" y="0"/>
                          <a:ext cx="1095375" cy="436245"/>
                        </a:xfrm>
                        <a:prstGeom prst="rect">
                          <a:avLst/>
                        </a:prstGeom>
                        <a:solidFill>
                          <a:srgbClr val="FFFFFF"/>
                        </a:solidFill>
                        <a:ln w="9525" cap="flat" cmpd="sng">
                          <a:solidFill>
                            <a:srgbClr val="FFFFFF"/>
                          </a:solidFill>
                          <a:prstDash val="solid"/>
                          <a:miter/>
                          <a:headEnd type="none" w="med" len="med"/>
                          <a:tailEnd type="none" w="med" len="med"/>
                        </a:ln>
                      </wps:spPr>
                      <wps:txbx>
                        <w:txbxContent>
                          <w:p>
                            <w:pPr>
                              <w:rPr>
                                <w:rFonts w:hint="default" w:ascii="黑体" w:hAnsi="黑体" w:eastAsia="黑体" w:cs="黑体"/>
                                <w:sz w:val="32"/>
                                <w:szCs w:val="32"/>
                                <w:lang w:val="en-US" w:eastAsia="zh-CN"/>
                              </w:rPr>
                            </w:pPr>
                            <w:r>
                              <w:rPr>
                                <w:rFonts w:hint="eastAsia" w:ascii="黑体" w:hAnsi="黑体" w:eastAsia="黑体" w:cs="黑体"/>
                                <w:sz w:val="32"/>
                                <w:szCs w:val="32"/>
                                <w:lang w:eastAsia="zh-CN"/>
                              </w:rPr>
                              <w:t>附件</w:t>
                            </w:r>
                            <w:r>
                              <w:rPr>
                                <w:rFonts w:hint="eastAsia" w:ascii="黑体" w:hAnsi="黑体" w:eastAsia="黑体" w:cs="黑体"/>
                                <w:sz w:val="32"/>
                                <w:szCs w:val="32"/>
                                <w:lang w:val="en-US" w:eastAsia="zh-CN"/>
                              </w:rPr>
                              <w:t>1-2</w:t>
                            </w:r>
                          </w:p>
                        </w:txbxContent>
                      </wps:txbx>
                      <wps:bodyPr upright="1"/>
                    </wps:wsp>
                  </a:graphicData>
                </a:graphic>
              </wp:anchor>
            </w:drawing>
          </mc:Choice>
          <mc:Fallback>
            <w:pict>
              <v:shape id="_x0000_s1026" o:spid="_x0000_s1026" o:spt="202" type="#_x0000_t202" style="position:absolute;left:0pt;margin-left:-39.55pt;margin-top:41.7pt;height:34.35pt;width:86.25pt;mso-position-vertical-relative:page;z-index:251659264;mso-width-relative:page;mso-height-relative:page;" fillcolor="#FFFFFF" filled="t" stroked="t" coordsize="21600,21600" o:gfxdata="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AAAAABkcnMvUEsBAhQAFAAAAAgAh07iQKHiEyPYAAAACQEAAA8AAAAAAAAAAQAgAAAAIgAAAGRy&#10;cy9kb3ducmV2LnhtbFBLAQIUABQAAAAIAIdO4kDnd/QbBQIAADYEAAAOAAAAAAAAAAEAIAAAACcB&#10;AABkcnMvZTJvRG9jLnhtbFBLBQYAAAAABgAGAFkBAACeBQAAAAA=&#10;">
                <v:fill on="t" focussize="0,0"/>
                <v:stroke color="#FFFFFF" joinstyle="miter"/>
                <v:imagedata o:title=""/>
                <o:lock v:ext="edit" aspectratio="f"/>
                <v:textbox>
                  <w:txbxContent>
                    <w:p>
                      <w:pPr>
                        <w:rPr>
                          <w:rFonts w:hint="default" w:ascii="黑体" w:hAnsi="黑体" w:eastAsia="黑体" w:cs="黑体"/>
                          <w:sz w:val="32"/>
                          <w:szCs w:val="32"/>
                          <w:lang w:val="en-US" w:eastAsia="zh-CN"/>
                        </w:rPr>
                      </w:pPr>
                      <w:r>
                        <w:rPr>
                          <w:rFonts w:hint="eastAsia" w:ascii="黑体" w:hAnsi="黑体" w:eastAsia="黑体" w:cs="黑体"/>
                          <w:sz w:val="32"/>
                          <w:szCs w:val="32"/>
                          <w:lang w:eastAsia="zh-CN"/>
                        </w:rPr>
                        <w:t>附件</w:t>
                      </w:r>
                      <w:r>
                        <w:rPr>
                          <w:rFonts w:hint="eastAsia" w:ascii="黑体" w:hAnsi="黑体" w:eastAsia="黑体" w:cs="黑体"/>
                          <w:sz w:val="32"/>
                          <w:szCs w:val="32"/>
                          <w:lang w:val="en-US" w:eastAsia="zh-CN"/>
                        </w:rPr>
                        <w:t>1-2</w:t>
                      </w:r>
                    </w:p>
                  </w:txbxContent>
                </v:textbox>
              </v:shape>
            </w:pict>
          </mc:Fallback>
        </mc:AlternateContent>
      </w:r>
      <w:r>
        <w:rPr>
          <w:rFonts w:hint="default" w:ascii="Times New Roman" w:hAnsi="Times New Roman" w:eastAsia="方正小标宋_GBK" w:cs="Times New Roman"/>
          <w:b w:val="0"/>
          <w:bCs w:val="0"/>
          <w:sz w:val="44"/>
          <w:szCs w:val="44"/>
          <w:lang w:val="en-US" w:eastAsia="zh-CN"/>
        </w:rPr>
        <w:t>农村宅基地和非公寓式住宅建设技术标准</w:t>
      </w:r>
      <w:bookmarkStart w:id="0" w:name="_GoBack"/>
      <w:bookmarkEnd w:id="0"/>
    </w:p>
    <w:p>
      <w:pPr>
        <w:keepNext w:val="0"/>
        <w:keepLines w:val="0"/>
        <w:pageBreakBefore w:val="0"/>
        <w:widowControl w:val="0"/>
        <w:kinsoku/>
        <w:wordWrap/>
        <w:overflowPunct w:val="0"/>
        <w:topLinePunct w:val="0"/>
        <w:autoSpaceDE/>
        <w:autoSpaceDN/>
        <w:bidi w:val="0"/>
        <w:snapToGrid w:val="0"/>
        <w:spacing w:line="560" w:lineRule="exact"/>
        <w:ind w:firstLine="640" w:firstLineChars="200"/>
        <w:textAlignment w:val="auto"/>
        <w:rPr>
          <w:rFonts w:hint="default" w:ascii="Times New Roman" w:hAnsi="Times New Roman" w:cs="Times New Roman"/>
          <w:sz w:val="32"/>
          <w:szCs w:val="32"/>
          <w:highlight w:val="none"/>
        </w:rPr>
      </w:pPr>
    </w:p>
    <w:p>
      <w:pPr>
        <w:keepNext w:val="0"/>
        <w:keepLines w:val="0"/>
        <w:pageBreakBefore w:val="0"/>
        <w:widowControl w:val="0"/>
        <w:kinsoku/>
        <w:wordWrap/>
        <w:overflowPunct w:val="0"/>
        <w:topLinePunct w:val="0"/>
        <w:autoSpaceDE/>
        <w:autoSpaceDN/>
        <w:bidi w:val="0"/>
        <w:adjustRightInd/>
        <w:snapToGrid w:val="0"/>
        <w:spacing w:line="560" w:lineRule="exact"/>
        <w:ind w:firstLine="640" w:firstLineChars="200"/>
        <w:jc w:val="both"/>
        <w:textAlignment w:val="auto"/>
        <w:rPr>
          <w:rFonts w:hint="default" w:ascii="Times New Roman" w:hAnsi="Times New Roman" w:eastAsia="仿宋_GB2312" w:cs="Times New Roman"/>
          <w:kern w:val="2"/>
          <w:sz w:val="32"/>
          <w:szCs w:val="32"/>
          <w:highlight w:val="none"/>
          <w:lang w:val="en-US" w:eastAsia="zh-CN" w:bidi="ar-SA"/>
        </w:rPr>
      </w:pPr>
      <w:r>
        <w:rPr>
          <w:rFonts w:hint="default" w:ascii="Times New Roman" w:hAnsi="Times New Roman" w:eastAsia="仿宋_GB2312" w:cs="Times New Roman"/>
          <w:kern w:val="2"/>
          <w:sz w:val="32"/>
          <w:szCs w:val="32"/>
          <w:highlight w:val="none"/>
          <w:lang w:val="en-US" w:eastAsia="zh-CN" w:bidi="ar-SA"/>
        </w:rPr>
        <w:t>根据《广州市城乡规划技术规定》等有关法律法规及政策文件，结合白云区实际情况，制定白云区农村宅基地和非公寓式村民住宅的建设技术标准。</w:t>
      </w:r>
    </w:p>
    <w:p>
      <w:pPr>
        <w:keepNext w:val="0"/>
        <w:keepLines w:val="0"/>
        <w:pageBreakBefore w:val="0"/>
        <w:widowControl w:val="0"/>
        <w:kinsoku/>
        <w:wordWrap/>
        <w:overflowPunct w:val="0"/>
        <w:topLinePunct w:val="0"/>
        <w:autoSpaceDE/>
        <w:autoSpaceDN/>
        <w:bidi w:val="0"/>
        <w:adjustRightInd/>
        <w:snapToGrid w:val="0"/>
        <w:spacing w:line="560" w:lineRule="exact"/>
        <w:ind w:firstLine="640" w:firstLineChars="200"/>
        <w:jc w:val="both"/>
        <w:textAlignment w:val="auto"/>
        <w:rPr>
          <w:rFonts w:hint="default" w:ascii="Times New Roman" w:hAnsi="Times New Roman" w:eastAsia="黑体" w:cs="Times New Roman"/>
          <w:kern w:val="2"/>
          <w:sz w:val="32"/>
          <w:szCs w:val="32"/>
          <w:highlight w:val="none"/>
          <w:lang w:val="en-US" w:eastAsia="zh-CN" w:bidi="ar-SA"/>
        </w:rPr>
      </w:pPr>
      <w:r>
        <w:rPr>
          <w:rFonts w:hint="default" w:ascii="Times New Roman" w:hAnsi="Times New Roman" w:eastAsia="黑体" w:cs="Times New Roman"/>
          <w:kern w:val="2"/>
          <w:sz w:val="32"/>
          <w:szCs w:val="32"/>
          <w:highlight w:val="none"/>
          <w:lang w:val="en-US" w:eastAsia="zh-CN" w:bidi="ar-SA"/>
        </w:rPr>
        <w:t>一、建设规模要求</w:t>
      </w:r>
    </w:p>
    <w:p>
      <w:pPr>
        <w:keepNext w:val="0"/>
        <w:keepLines w:val="0"/>
        <w:pageBreakBefore w:val="0"/>
        <w:widowControl w:val="0"/>
        <w:kinsoku/>
        <w:wordWrap/>
        <w:overflowPunct w:val="0"/>
        <w:topLinePunct w:val="0"/>
        <w:autoSpaceDE/>
        <w:autoSpaceDN/>
        <w:bidi w:val="0"/>
        <w:adjustRightInd/>
        <w:snapToGrid w:val="0"/>
        <w:spacing w:line="560" w:lineRule="exact"/>
        <w:ind w:firstLine="640" w:firstLineChars="200"/>
        <w:jc w:val="both"/>
        <w:textAlignment w:val="auto"/>
        <w:rPr>
          <w:rFonts w:hint="default" w:ascii="Times New Roman" w:hAnsi="Times New Roman" w:eastAsia="仿宋_GB2312" w:cs="Times New Roman"/>
          <w:kern w:val="2"/>
          <w:sz w:val="32"/>
          <w:szCs w:val="32"/>
          <w:highlight w:val="none"/>
          <w:lang w:val="en-US" w:eastAsia="zh-CN" w:bidi="ar-SA"/>
        </w:rPr>
      </w:pPr>
      <w:r>
        <w:rPr>
          <w:rFonts w:hint="default" w:ascii="Times New Roman" w:hAnsi="Times New Roman" w:eastAsia="仿宋_GB2312" w:cs="Times New Roman"/>
          <w:kern w:val="2"/>
          <w:sz w:val="32"/>
          <w:szCs w:val="32"/>
          <w:highlight w:val="none"/>
          <w:lang w:val="en-US" w:eastAsia="zh-CN" w:bidi="ar-SA"/>
        </w:rPr>
        <w:t>（一）新分配宅基地的，每户宅基地用地面积控制在80平方米以内，建筑面积控制在280平方米以内。</w:t>
      </w:r>
    </w:p>
    <w:p>
      <w:pPr>
        <w:keepNext w:val="0"/>
        <w:keepLines w:val="0"/>
        <w:pageBreakBefore w:val="0"/>
        <w:widowControl w:val="0"/>
        <w:kinsoku/>
        <w:wordWrap/>
        <w:overflowPunct w:val="0"/>
        <w:topLinePunct w:val="0"/>
        <w:autoSpaceDE/>
        <w:autoSpaceDN/>
        <w:bidi w:val="0"/>
        <w:adjustRightInd/>
        <w:snapToGrid w:val="0"/>
        <w:spacing w:line="560" w:lineRule="exact"/>
        <w:ind w:firstLine="640" w:firstLineChars="200"/>
        <w:jc w:val="both"/>
        <w:textAlignment w:val="auto"/>
        <w:rPr>
          <w:rFonts w:hint="default" w:ascii="Times New Roman" w:hAnsi="Times New Roman" w:eastAsia="仿宋_GB2312" w:cs="Times New Roman"/>
          <w:kern w:val="2"/>
          <w:sz w:val="32"/>
          <w:szCs w:val="32"/>
          <w:highlight w:val="none"/>
          <w:lang w:val="en-US" w:eastAsia="zh-CN" w:bidi="ar-SA"/>
        </w:rPr>
      </w:pPr>
      <w:r>
        <w:rPr>
          <w:rFonts w:hint="default" w:ascii="Times New Roman" w:hAnsi="Times New Roman" w:eastAsia="仿宋_GB2312" w:cs="Times New Roman"/>
          <w:kern w:val="2"/>
          <w:sz w:val="32"/>
          <w:szCs w:val="32"/>
          <w:highlight w:val="none"/>
          <w:lang w:val="en-US" w:eastAsia="zh-CN" w:bidi="ar-SA"/>
        </w:rPr>
        <w:t>（二）已</w:t>
      </w:r>
      <w:r>
        <w:rPr>
          <w:rFonts w:hint="default" w:ascii="Times New Roman" w:hAnsi="Times New Roman" w:cs="Times New Roman"/>
          <w:kern w:val="2"/>
          <w:sz w:val="32"/>
          <w:szCs w:val="32"/>
          <w:highlight w:val="none"/>
          <w:lang w:val="en-US" w:eastAsia="zh-CN" w:bidi="ar-SA"/>
        </w:rPr>
        <w:t>取得</w:t>
      </w:r>
      <w:r>
        <w:rPr>
          <w:rFonts w:hint="default" w:ascii="Times New Roman" w:hAnsi="Times New Roman" w:eastAsia="仿宋_GB2312" w:cs="Times New Roman"/>
          <w:kern w:val="2"/>
          <w:sz w:val="32"/>
          <w:szCs w:val="32"/>
          <w:highlight w:val="none"/>
          <w:lang w:val="en-US" w:eastAsia="zh-CN" w:bidi="ar-SA"/>
        </w:rPr>
        <w:t>土地使用权登记或建设用地批准文件的村民非公寓式住宅原址拆建、改建，每户建筑面积控制在280平方米以内，宅基地用地面积按如下要求控制：</w:t>
      </w:r>
    </w:p>
    <w:p>
      <w:pPr>
        <w:keepNext w:val="0"/>
        <w:keepLines w:val="0"/>
        <w:pageBreakBefore w:val="0"/>
        <w:widowControl w:val="0"/>
        <w:kinsoku/>
        <w:wordWrap/>
        <w:overflowPunct w:val="0"/>
        <w:topLinePunct w:val="0"/>
        <w:autoSpaceDE/>
        <w:autoSpaceDN/>
        <w:bidi w:val="0"/>
        <w:adjustRightInd/>
        <w:snapToGrid w:val="0"/>
        <w:spacing w:line="560" w:lineRule="exact"/>
        <w:ind w:firstLine="640" w:firstLineChars="200"/>
        <w:jc w:val="both"/>
        <w:textAlignment w:val="auto"/>
        <w:rPr>
          <w:rFonts w:hint="default" w:ascii="Times New Roman" w:hAnsi="Times New Roman" w:eastAsia="仿宋_GB2312" w:cs="Times New Roman"/>
          <w:kern w:val="2"/>
          <w:sz w:val="32"/>
          <w:szCs w:val="32"/>
          <w:highlight w:val="none"/>
          <w:lang w:val="en-US" w:eastAsia="zh-CN" w:bidi="ar-SA"/>
        </w:rPr>
      </w:pPr>
      <w:r>
        <w:rPr>
          <w:rFonts w:hint="default" w:ascii="Times New Roman" w:hAnsi="Times New Roman" w:eastAsia="仿宋_GB2312" w:cs="Times New Roman"/>
          <w:kern w:val="2"/>
          <w:sz w:val="32"/>
          <w:szCs w:val="32"/>
          <w:highlight w:val="none"/>
          <w:lang w:val="en-US" w:eastAsia="zh-CN" w:bidi="ar-SA"/>
        </w:rPr>
        <w:t>1．土地使用权登记或建设用地批准文件核发时间在1995年3月1日之前的，用地面积可按不超过证载用地面积且小于等于150平方米确认。</w:t>
      </w:r>
    </w:p>
    <w:p>
      <w:pPr>
        <w:keepNext w:val="0"/>
        <w:keepLines w:val="0"/>
        <w:pageBreakBefore w:val="0"/>
        <w:widowControl w:val="0"/>
        <w:kinsoku/>
        <w:wordWrap/>
        <w:overflowPunct w:val="0"/>
        <w:topLinePunct w:val="0"/>
        <w:autoSpaceDE/>
        <w:autoSpaceDN/>
        <w:bidi w:val="0"/>
        <w:adjustRightInd/>
        <w:snapToGrid w:val="0"/>
        <w:spacing w:line="560" w:lineRule="exact"/>
        <w:ind w:firstLine="640" w:firstLineChars="200"/>
        <w:jc w:val="both"/>
        <w:textAlignment w:val="auto"/>
        <w:rPr>
          <w:rFonts w:hint="default" w:ascii="Times New Roman" w:hAnsi="Times New Roman" w:eastAsia="仿宋_GB2312" w:cs="Times New Roman"/>
          <w:kern w:val="2"/>
          <w:sz w:val="32"/>
          <w:szCs w:val="32"/>
          <w:highlight w:val="none"/>
          <w:lang w:val="en-US" w:eastAsia="zh-CN" w:bidi="ar-SA"/>
        </w:rPr>
      </w:pPr>
      <w:r>
        <w:rPr>
          <w:rFonts w:hint="default" w:ascii="Times New Roman" w:hAnsi="Times New Roman" w:eastAsia="仿宋_GB2312" w:cs="Times New Roman"/>
          <w:kern w:val="2"/>
          <w:sz w:val="32"/>
          <w:szCs w:val="32"/>
          <w:highlight w:val="none"/>
          <w:lang w:val="en-US" w:eastAsia="zh-CN" w:bidi="ar-SA"/>
        </w:rPr>
        <w:t>2．土地使用权登记或建设用地批准文件核发时间在1995年3月1日或之后的，用地面积可按不超过证载用地面积且用地面积小于等于120平方米确认。</w:t>
      </w:r>
    </w:p>
    <w:p>
      <w:pPr>
        <w:keepNext w:val="0"/>
        <w:keepLines w:val="0"/>
        <w:pageBreakBefore w:val="0"/>
        <w:widowControl w:val="0"/>
        <w:kinsoku/>
        <w:wordWrap/>
        <w:overflowPunct w:val="0"/>
        <w:topLinePunct w:val="0"/>
        <w:autoSpaceDE/>
        <w:autoSpaceDN/>
        <w:bidi w:val="0"/>
        <w:adjustRightInd/>
        <w:snapToGrid w:val="0"/>
        <w:spacing w:line="560" w:lineRule="exact"/>
        <w:ind w:firstLine="640" w:firstLineChars="200"/>
        <w:jc w:val="both"/>
        <w:textAlignment w:val="auto"/>
        <w:rPr>
          <w:rFonts w:hint="default" w:ascii="Times New Roman" w:hAnsi="Times New Roman" w:eastAsia="仿宋_GB2312" w:cs="Times New Roman"/>
          <w:kern w:val="2"/>
          <w:sz w:val="32"/>
          <w:szCs w:val="32"/>
          <w:highlight w:val="none"/>
          <w:lang w:val="en-US" w:eastAsia="zh-CN" w:bidi="ar-SA"/>
        </w:rPr>
      </w:pPr>
      <w:r>
        <w:rPr>
          <w:rFonts w:hint="default" w:ascii="Times New Roman" w:hAnsi="Times New Roman" w:eastAsia="仿宋_GB2312" w:cs="Times New Roman"/>
          <w:kern w:val="2"/>
          <w:sz w:val="32"/>
          <w:szCs w:val="32"/>
          <w:highlight w:val="none"/>
          <w:lang w:val="en-US" w:eastAsia="zh-CN" w:bidi="ar-SA"/>
        </w:rPr>
        <w:t>3．已办理集体土地房屋确权登记的，用地面积按证载登记用地面积且小于等于150平方米确认，且不得再使用原土地使用权登记或建设用地批准文件申请</w:t>
      </w:r>
      <w:r>
        <w:rPr>
          <w:rFonts w:hint="default" w:ascii="Times New Roman" w:hAnsi="Times New Roman" w:cs="Times New Roman"/>
          <w:kern w:val="2"/>
          <w:sz w:val="32"/>
          <w:szCs w:val="32"/>
          <w:highlight w:val="none"/>
          <w:lang w:val="en-US" w:eastAsia="zh-CN" w:bidi="ar-SA"/>
        </w:rPr>
        <w:t>建房</w:t>
      </w:r>
      <w:r>
        <w:rPr>
          <w:rFonts w:hint="default" w:ascii="Times New Roman" w:hAnsi="Times New Roman" w:eastAsia="仿宋_GB2312" w:cs="Times New Roman"/>
          <w:kern w:val="2"/>
          <w:sz w:val="32"/>
          <w:szCs w:val="32"/>
          <w:highlight w:val="none"/>
          <w:lang w:val="en-US" w:eastAsia="zh-CN" w:bidi="ar-SA"/>
        </w:rPr>
        <w:t>。</w:t>
      </w:r>
    </w:p>
    <w:p>
      <w:pPr>
        <w:keepNext w:val="0"/>
        <w:keepLines w:val="0"/>
        <w:pageBreakBefore w:val="0"/>
        <w:widowControl w:val="0"/>
        <w:kinsoku/>
        <w:wordWrap/>
        <w:overflowPunct w:val="0"/>
        <w:topLinePunct w:val="0"/>
        <w:autoSpaceDE/>
        <w:autoSpaceDN/>
        <w:bidi w:val="0"/>
        <w:adjustRightInd/>
        <w:snapToGrid w:val="0"/>
        <w:spacing w:line="560" w:lineRule="exact"/>
        <w:ind w:firstLine="640" w:firstLineChars="200"/>
        <w:jc w:val="both"/>
        <w:textAlignment w:val="auto"/>
        <w:rPr>
          <w:rFonts w:hint="default" w:ascii="Times New Roman" w:hAnsi="Times New Roman" w:eastAsia="仿宋_GB2312" w:cs="Times New Roman"/>
          <w:kern w:val="2"/>
          <w:sz w:val="32"/>
          <w:szCs w:val="32"/>
          <w:highlight w:val="none"/>
          <w:lang w:val="en-US" w:eastAsia="zh-CN" w:bidi="ar-SA"/>
        </w:rPr>
      </w:pPr>
      <w:r>
        <w:rPr>
          <w:rFonts w:hint="default" w:ascii="Times New Roman" w:hAnsi="Times New Roman" w:eastAsia="仿宋_GB2312" w:cs="Times New Roman"/>
          <w:kern w:val="2"/>
          <w:sz w:val="32"/>
          <w:szCs w:val="32"/>
          <w:highlight w:val="none"/>
          <w:lang w:val="en-US" w:eastAsia="zh-CN" w:bidi="ar-SA"/>
        </w:rPr>
        <w:t>（三）已取得土地使用权登记或建设用地批准文件但现状是空地的（含简易房、棚房、农具房、圈舍、厕所等建</w:t>
      </w:r>
      <w:r>
        <w:rPr>
          <w:rFonts w:hint="default" w:ascii="Times New Roman" w:hAnsi="Times New Roman" w:cs="Times New Roman"/>
          <w:kern w:val="2"/>
          <w:sz w:val="32"/>
          <w:szCs w:val="32"/>
          <w:highlight w:val="none"/>
          <w:lang w:val="en-US" w:eastAsia="zh-CN" w:bidi="ar-SA"/>
        </w:rPr>
        <w:t>、</w:t>
      </w:r>
      <w:r>
        <w:rPr>
          <w:rFonts w:hint="default" w:ascii="Times New Roman" w:hAnsi="Times New Roman" w:eastAsia="仿宋_GB2312" w:cs="Times New Roman"/>
          <w:kern w:val="2"/>
          <w:sz w:val="32"/>
          <w:szCs w:val="32"/>
          <w:highlight w:val="none"/>
          <w:lang w:val="en-US" w:eastAsia="zh-CN" w:bidi="ar-SA"/>
        </w:rPr>
        <w:t>构筑物的情形），每户宅基地用地面积控制在80平方米以内，同时不得超过证载用地面积，建筑面积控制在280平方米以内。</w:t>
      </w:r>
    </w:p>
    <w:p>
      <w:pPr>
        <w:keepNext w:val="0"/>
        <w:keepLines w:val="0"/>
        <w:pageBreakBefore w:val="0"/>
        <w:widowControl w:val="0"/>
        <w:kinsoku/>
        <w:wordWrap/>
        <w:overflowPunct w:val="0"/>
        <w:topLinePunct w:val="0"/>
        <w:autoSpaceDE/>
        <w:autoSpaceDN/>
        <w:bidi w:val="0"/>
        <w:adjustRightInd/>
        <w:snapToGrid w:val="0"/>
        <w:spacing w:line="560" w:lineRule="exact"/>
        <w:ind w:firstLine="640" w:firstLineChars="200"/>
        <w:jc w:val="both"/>
        <w:textAlignment w:val="auto"/>
        <w:rPr>
          <w:rFonts w:hint="default" w:ascii="Times New Roman" w:hAnsi="Times New Roman" w:eastAsia="仿宋_GB2312" w:cs="Times New Roman"/>
          <w:kern w:val="2"/>
          <w:sz w:val="32"/>
          <w:szCs w:val="32"/>
          <w:highlight w:val="none"/>
          <w:lang w:val="en-US" w:eastAsia="zh-CN" w:bidi="ar-SA"/>
        </w:rPr>
      </w:pPr>
      <w:r>
        <w:rPr>
          <w:rFonts w:hint="default" w:ascii="Times New Roman" w:hAnsi="Times New Roman" w:eastAsia="仿宋_GB2312" w:cs="Times New Roman"/>
          <w:kern w:val="2"/>
          <w:sz w:val="32"/>
          <w:szCs w:val="32"/>
          <w:highlight w:val="none"/>
          <w:lang w:val="en-US" w:eastAsia="zh-CN" w:bidi="ar-SA"/>
        </w:rPr>
        <w:t>（四）多户合并建房的，用地面积不超过分户后建房用地合计面积标准且小于等于150平方米，建筑面积不超过分户后合计建筑面积标准。</w:t>
      </w:r>
    </w:p>
    <w:p>
      <w:pPr>
        <w:keepNext w:val="0"/>
        <w:keepLines w:val="0"/>
        <w:pageBreakBefore w:val="0"/>
        <w:widowControl w:val="0"/>
        <w:kinsoku/>
        <w:wordWrap/>
        <w:overflowPunct w:val="0"/>
        <w:topLinePunct w:val="0"/>
        <w:autoSpaceDE/>
        <w:autoSpaceDN/>
        <w:bidi w:val="0"/>
        <w:adjustRightInd/>
        <w:snapToGrid w:val="0"/>
        <w:spacing w:line="560" w:lineRule="exact"/>
        <w:ind w:firstLine="640" w:firstLineChars="200"/>
        <w:jc w:val="both"/>
        <w:textAlignment w:val="auto"/>
        <w:rPr>
          <w:rFonts w:hint="default" w:ascii="Times New Roman" w:hAnsi="Times New Roman" w:eastAsia="黑体" w:cs="Times New Roman"/>
          <w:kern w:val="2"/>
          <w:sz w:val="32"/>
          <w:szCs w:val="32"/>
          <w:highlight w:val="none"/>
          <w:lang w:val="en-US" w:eastAsia="zh-CN" w:bidi="ar-SA"/>
        </w:rPr>
      </w:pPr>
      <w:r>
        <w:rPr>
          <w:rFonts w:hint="default" w:ascii="Times New Roman" w:hAnsi="Times New Roman" w:eastAsia="黑体" w:cs="Times New Roman"/>
          <w:kern w:val="2"/>
          <w:sz w:val="32"/>
          <w:szCs w:val="32"/>
          <w:highlight w:val="none"/>
          <w:lang w:val="en-US" w:eastAsia="zh-CN" w:bidi="ar-SA"/>
        </w:rPr>
        <w:t>二、建筑层数和高度要求</w:t>
      </w:r>
    </w:p>
    <w:p>
      <w:pPr>
        <w:keepNext w:val="0"/>
        <w:keepLines w:val="0"/>
        <w:pageBreakBefore w:val="0"/>
        <w:widowControl w:val="0"/>
        <w:kinsoku/>
        <w:wordWrap/>
        <w:overflowPunct w:val="0"/>
        <w:topLinePunct w:val="0"/>
        <w:autoSpaceDE/>
        <w:autoSpaceDN/>
        <w:bidi w:val="0"/>
        <w:adjustRightInd/>
        <w:snapToGrid w:val="0"/>
        <w:spacing w:line="560" w:lineRule="exact"/>
        <w:ind w:firstLine="640" w:firstLineChars="200"/>
        <w:jc w:val="both"/>
        <w:textAlignment w:val="auto"/>
        <w:rPr>
          <w:rFonts w:hint="default" w:ascii="Times New Roman" w:hAnsi="Times New Roman" w:eastAsia="仿宋_GB2312" w:cs="Times New Roman"/>
          <w:kern w:val="2"/>
          <w:sz w:val="32"/>
          <w:szCs w:val="32"/>
          <w:highlight w:val="none"/>
          <w:lang w:val="en-US" w:eastAsia="zh-CN" w:bidi="ar-SA"/>
        </w:rPr>
      </w:pPr>
      <w:r>
        <w:rPr>
          <w:rFonts w:hint="default" w:ascii="Times New Roman" w:hAnsi="Times New Roman" w:eastAsia="仿宋_GB2312" w:cs="Times New Roman"/>
          <w:kern w:val="2"/>
          <w:sz w:val="32"/>
          <w:szCs w:val="32"/>
          <w:highlight w:val="none"/>
          <w:lang w:val="en-US" w:eastAsia="zh-CN" w:bidi="ar-SA"/>
        </w:rPr>
        <w:t>（一）每户建筑层数应不超过三层，根据功能需要可以增设梯间和功能用房（建筑面积不超过建筑基底面积的一半）。三层部分建筑高度（自室外地坪至女儿墙顶）应不超过11米，设梯间和功能用房的建筑高度（自室外地坪至女儿墙顶）应不超过14米。</w:t>
      </w:r>
    </w:p>
    <w:p>
      <w:pPr>
        <w:keepNext w:val="0"/>
        <w:keepLines w:val="0"/>
        <w:pageBreakBefore w:val="0"/>
        <w:widowControl w:val="0"/>
        <w:kinsoku/>
        <w:wordWrap/>
        <w:overflowPunct w:val="0"/>
        <w:topLinePunct w:val="0"/>
        <w:autoSpaceDE/>
        <w:autoSpaceDN/>
        <w:bidi w:val="0"/>
        <w:adjustRightInd/>
        <w:snapToGrid w:val="0"/>
        <w:spacing w:line="560" w:lineRule="exact"/>
        <w:ind w:firstLine="640" w:firstLineChars="200"/>
        <w:jc w:val="both"/>
        <w:textAlignment w:val="auto"/>
        <w:rPr>
          <w:rFonts w:hint="default" w:ascii="Times New Roman" w:hAnsi="Times New Roman" w:eastAsia="仿宋_GB2312" w:cs="Times New Roman"/>
          <w:kern w:val="2"/>
          <w:sz w:val="32"/>
          <w:szCs w:val="32"/>
          <w:highlight w:val="none"/>
          <w:lang w:val="en-US" w:eastAsia="zh-CN" w:bidi="ar-SA"/>
        </w:rPr>
      </w:pPr>
      <w:r>
        <w:rPr>
          <w:rFonts w:hint="default" w:ascii="Times New Roman" w:hAnsi="Times New Roman" w:eastAsia="仿宋_GB2312" w:cs="Times New Roman"/>
          <w:kern w:val="2"/>
          <w:sz w:val="32"/>
          <w:szCs w:val="32"/>
          <w:highlight w:val="none"/>
          <w:lang w:val="en-US" w:eastAsia="zh-CN" w:bidi="ar-SA"/>
        </w:rPr>
        <w:t>（二）多户合并建房的，在符合历史文化保护要求</w:t>
      </w:r>
      <w:r>
        <w:rPr>
          <w:rFonts w:hint="default" w:ascii="Times New Roman" w:hAnsi="Times New Roman" w:cs="Times New Roman"/>
          <w:kern w:val="2"/>
          <w:sz w:val="32"/>
          <w:szCs w:val="32"/>
          <w:highlight w:val="none"/>
          <w:lang w:val="en-US" w:eastAsia="zh-CN" w:bidi="ar-SA"/>
        </w:rPr>
        <w:t>、</w:t>
      </w:r>
      <w:r>
        <w:rPr>
          <w:rFonts w:hint="default" w:ascii="Times New Roman" w:hAnsi="Times New Roman" w:eastAsia="仿宋_GB2312" w:cs="Times New Roman"/>
          <w:kern w:val="2"/>
          <w:sz w:val="32"/>
          <w:szCs w:val="32"/>
          <w:highlight w:val="none"/>
          <w:lang w:val="en-US" w:eastAsia="zh-CN" w:bidi="ar-SA"/>
        </w:rPr>
        <w:t>与周边环境相协调情况下，建筑层数不超过六层，建筑高度（自室外地坪至女儿墙顶）应不超过22米。</w:t>
      </w:r>
    </w:p>
    <w:p>
      <w:pPr>
        <w:keepNext w:val="0"/>
        <w:keepLines w:val="0"/>
        <w:pageBreakBefore w:val="0"/>
        <w:widowControl w:val="0"/>
        <w:kinsoku/>
        <w:wordWrap/>
        <w:overflowPunct w:val="0"/>
        <w:topLinePunct w:val="0"/>
        <w:autoSpaceDE/>
        <w:autoSpaceDN/>
        <w:bidi w:val="0"/>
        <w:adjustRightInd/>
        <w:snapToGrid w:val="0"/>
        <w:spacing w:line="560" w:lineRule="exact"/>
        <w:ind w:firstLine="640" w:firstLineChars="200"/>
        <w:jc w:val="both"/>
        <w:textAlignment w:val="auto"/>
        <w:rPr>
          <w:rFonts w:hint="default" w:ascii="Times New Roman" w:hAnsi="Times New Roman" w:eastAsia="黑体" w:cs="Times New Roman"/>
          <w:kern w:val="2"/>
          <w:sz w:val="32"/>
          <w:szCs w:val="32"/>
          <w:highlight w:val="none"/>
          <w:lang w:val="en-US" w:eastAsia="zh-CN" w:bidi="ar-SA"/>
        </w:rPr>
      </w:pPr>
      <w:r>
        <w:rPr>
          <w:rFonts w:hint="default" w:ascii="Times New Roman" w:hAnsi="Times New Roman" w:eastAsia="黑体" w:cs="Times New Roman"/>
          <w:kern w:val="2"/>
          <w:sz w:val="32"/>
          <w:szCs w:val="32"/>
          <w:highlight w:val="none"/>
          <w:lang w:val="en-US" w:eastAsia="zh-CN" w:bidi="ar-SA"/>
        </w:rPr>
        <w:t>三、退缩间距要求</w:t>
      </w:r>
    </w:p>
    <w:p>
      <w:pPr>
        <w:keepNext w:val="0"/>
        <w:keepLines w:val="0"/>
        <w:pageBreakBefore w:val="0"/>
        <w:widowControl w:val="0"/>
        <w:kinsoku/>
        <w:wordWrap/>
        <w:overflowPunct w:val="0"/>
        <w:topLinePunct w:val="0"/>
        <w:autoSpaceDE/>
        <w:autoSpaceDN/>
        <w:bidi w:val="0"/>
        <w:adjustRightInd/>
        <w:snapToGrid w:val="0"/>
        <w:spacing w:line="560" w:lineRule="exact"/>
        <w:ind w:firstLine="640" w:firstLineChars="200"/>
        <w:jc w:val="both"/>
        <w:textAlignment w:val="auto"/>
        <w:rPr>
          <w:rFonts w:hint="default" w:ascii="Times New Roman" w:hAnsi="Times New Roman" w:eastAsia="仿宋_GB2312" w:cs="Times New Roman"/>
          <w:kern w:val="2"/>
          <w:sz w:val="32"/>
          <w:szCs w:val="32"/>
          <w:highlight w:val="none"/>
          <w:lang w:val="en-US" w:eastAsia="zh-CN" w:bidi="ar-SA"/>
        </w:rPr>
      </w:pPr>
      <w:r>
        <w:rPr>
          <w:rFonts w:hint="default" w:ascii="Times New Roman" w:hAnsi="Times New Roman" w:eastAsia="仿宋_GB2312" w:cs="Times New Roman"/>
          <w:kern w:val="2"/>
          <w:sz w:val="32"/>
          <w:szCs w:val="32"/>
          <w:highlight w:val="none"/>
          <w:lang w:val="en-US" w:eastAsia="zh-CN" w:bidi="ar-SA"/>
        </w:rPr>
        <w:t>（一）新规划村民住宅，主要朝向的建筑间距应不小于6米，次要朝向的建筑间距应不小于2米。鼓励建设公寓式住宅或联排式住宅，公寓式住宅建设技术标准根据《广州市城乡规划技术规定》第三章执行；联排式住宅建筑成组布置总长超过45米或者因交通、防火需要的，应当预留不小于6米的公共通道。</w:t>
      </w:r>
    </w:p>
    <w:p>
      <w:pPr>
        <w:keepNext w:val="0"/>
        <w:keepLines w:val="0"/>
        <w:pageBreakBefore w:val="0"/>
        <w:widowControl w:val="0"/>
        <w:kinsoku/>
        <w:wordWrap/>
        <w:overflowPunct w:val="0"/>
        <w:topLinePunct w:val="0"/>
        <w:autoSpaceDE/>
        <w:autoSpaceDN/>
        <w:bidi w:val="0"/>
        <w:adjustRightInd/>
        <w:snapToGrid w:val="0"/>
        <w:spacing w:line="560" w:lineRule="exact"/>
        <w:ind w:firstLine="640" w:firstLineChars="200"/>
        <w:jc w:val="both"/>
        <w:textAlignment w:val="auto"/>
        <w:rPr>
          <w:rFonts w:hint="default" w:ascii="Times New Roman" w:hAnsi="Times New Roman" w:eastAsia="仿宋_GB2312" w:cs="Times New Roman"/>
          <w:kern w:val="2"/>
          <w:sz w:val="32"/>
          <w:szCs w:val="32"/>
          <w:highlight w:val="none"/>
          <w:lang w:val="en-US" w:eastAsia="zh-CN" w:bidi="ar-SA"/>
        </w:rPr>
      </w:pPr>
      <w:r>
        <w:rPr>
          <w:rFonts w:hint="default" w:ascii="Times New Roman" w:hAnsi="Times New Roman" w:eastAsia="仿宋_GB2312" w:cs="Times New Roman"/>
          <w:kern w:val="2"/>
          <w:sz w:val="32"/>
          <w:szCs w:val="32"/>
          <w:highlight w:val="none"/>
          <w:lang w:val="en-US" w:eastAsia="zh-CN" w:bidi="ar-SA"/>
        </w:rPr>
        <w:t>（二）现状村民住宅拆建、改建、扩建，不得影响邻屋安全，主要朝向或临路方向退缩建筑间距不少于2米（以道路中心线为基准），次要朝向退缩建筑间距不少于0.6米（以道路中心线为基准）。特殊情况下，可根据现场实际确定退缩要求。在不阻隔现状巷道情况下，鼓励采用联排式布置。</w:t>
      </w:r>
    </w:p>
    <w:p>
      <w:pPr>
        <w:keepNext w:val="0"/>
        <w:keepLines w:val="0"/>
        <w:pageBreakBefore w:val="0"/>
        <w:widowControl w:val="0"/>
        <w:kinsoku/>
        <w:wordWrap/>
        <w:overflowPunct w:val="0"/>
        <w:topLinePunct w:val="0"/>
        <w:autoSpaceDE/>
        <w:autoSpaceDN/>
        <w:bidi w:val="0"/>
        <w:adjustRightInd/>
        <w:snapToGrid w:val="0"/>
        <w:spacing w:line="560" w:lineRule="exact"/>
        <w:ind w:firstLine="640" w:firstLineChars="200"/>
        <w:jc w:val="both"/>
        <w:textAlignment w:val="auto"/>
        <w:rPr>
          <w:rFonts w:hint="default" w:ascii="Times New Roman" w:hAnsi="Times New Roman" w:eastAsia="仿宋_GB2312" w:cs="Times New Roman"/>
          <w:kern w:val="2"/>
          <w:sz w:val="32"/>
          <w:szCs w:val="32"/>
          <w:highlight w:val="none"/>
          <w:lang w:val="en-US" w:eastAsia="zh-CN" w:bidi="ar-SA"/>
        </w:rPr>
      </w:pPr>
      <w:r>
        <w:rPr>
          <w:rFonts w:hint="default" w:ascii="Times New Roman" w:hAnsi="Times New Roman" w:eastAsia="仿宋_GB2312" w:cs="Times New Roman"/>
          <w:kern w:val="2"/>
          <w:sz w:val="32"/>
          <w:szCs w:val="32"/>
          <w:highlight w:val="none"/>
          <w:lang w:val="en-US" w:eastAsia="zh-CN" w:bidi="ar-SA"/>
        </w:rPr>
        <w:t>（三）多户合并建房的，应结合现场条件尽可能创造更适宜居住的通风、采光条</w:t>
      </w:r>
      <w:r>
        <w:rPr>
          <w:rFonts w:hint="default" w:ascii="Times New Roman" w:hAnsi="Times New Roman" w:cs="Times New Roman"/>
          <w:kern w:val="2"/>
          <w:sz w:val="32"/>
          <w:szCs w:val="32"/>
          <w:highlight w:val="none"/>
          <w:lang w:val="en-US" w:eastAsia="zh-CN" w:bidi="ar-SA"/>
        </w:rPr>
        <w:t>件</w:t>
      </w:r>
      <w:r>
        <w:rPr>
          <w:rFonts w:hint="default" w:ascii="Times New Roman" w:hAnsi="Times New Roman" w:eastAsia="仿宋_GB2312" w:cs="Times New Roman"/>
          <w:kern w:val="2"/>
          <w:sz w:val="32"/>
          <w:szCs w:val="32"/>
          <w:highlight w:val="none"/>
          <w:lang w:val="en-US" w:eastAsia="zh-CN" w:bidi="ar-SA"/>
        </w:rPr>
        <w:t>，不得低于《农村防火规范》GB50039的要求，建筑高度超过15米的应符合《建筑设计防火规范》GB50016。</w:t>
      </w:r>
    </w:p>
    <w:p>
      <w:pPr>
        <w:keepNext w:val="0"/>
        <w:keepLines w:val="0"/>
        <w:pageBreakBefore w:val="0"/>
        <w:widowControl w:val="0"/>
        <w:kinsoku/>
        <w:wordWrap/>
        <w:overflowPunct w:val="0"/>
        <w:topLinePunct w:val="0"/>
        <w:autoSpaceDE/>
        <w:autoSpaceDN/>
        <w:bidi w:val="0"/>
        <w:adjustRightInd/>
        <w:snapToGrid w:val="0"/>
        <w:spacing w:line="560" w:lineRule="exact"/>
        <w:ind w:firstLine="640" w:firstLineChars="200"/>
        <w:jc w:val="both"/>
        <w:textAlignment w:val="auto"/>
        <w:rPr>
          <w:rFonts w:hint="default" w:ascii="Times New Roman" w:hAnsi="Times New Roman" w:eastAsia="仿宋_GB2312" w:cs="Times New Roman"/>
          <w:kern w:val="2"/>
          <w:sz w:val="32"/>
          <w:szCs w:val="32"/>
          <w:highlight w:val="none"/>
          <w:lang w:val="en-US" w:eastAsia="zh-CN" w:bidi="ar-SA"/>
        </w:rPr>
      </w:pPr>
      <w:r>
        <w:rPr>
          <w:rFonts w:hint="default" w:ascii="Times New Roman" w:hAnsi="Times New Roman" w:eastAsia="仿宋_GB2312" w:cs="Times New Roman"/>
          <w:kern w:val="2"/>
          <w:sz w:val="32"/>
          <w:szCs w:val="32"/>
          <w:highlight w:val="none"/>
          <w:lang w:val="en-US" w:eastAsia="zh-CN" w:bidi="ar-SA"/>
        </w:rPr>
        <w:t>（</w:t>
      </w:r>
      <w:r>
        <w:rPr>
          <w:rFonts w:hint="default" w:ascii="Times New Roman" w:hAnsi="Times New Roman" w:cs="Times New Roman"/>
          <w:kern w:val="2"/>
          <w:sz w:val="32"/>
          <w:szCs w:val="32"/>
          <w:highlight w:val="none"/>
          <w:lang w:val="en-US" w:eastAsia="zh-CN" w:bidi="ar-SA"/>
        </w:rPr>
        <w:t>四</w:t>
      </w:r>
      <w:r>
        <w:rPr>
          <w:rFonts w:hint="default" w:ascii="Times New Roman" w:hAnsi="Times New Roman" w:eastAsia="仿宋_GB2312" w:cs="Times New Roman"/>
          <w:kern w:val="2"/>
          <w:sz w:val="32"/>
          <w:szCs w:val="32"/>
          <w:highlight w:val="none"/>
          <w:lang w:val="en-US" w:eastAsia="zh-CN" w:bidi="ar-SA"/>
        </w:rPr>
        <w:t>）最小间距范围内，不得设置阳台、飘窗、雨蓬、花槽、台阶等。</w:t>
      </w:r>
    </w:p>
    <w:p>
      <w:pPr>
        <w:keepNext w:val="0"/>
        <w:keepLines w:val="0"/>
        <w:pageBreakBefore w:val="0"/>
        <w:widowControl w:val="0"/>
        <w:kinsoku/>
        <w:wordWrap/>
        <w:overflowPunct w:val="0"/>
        <w:topLinePunct w:val="0"/>
        <w:autoSpaceDE/>
        <w:autoSpaceDN/>
        <w:bidi w:val="0"/>
        <w:adjustRightInd/>
        <w:snapToGrid w:val="0"/>
        <w:spacing w:line="560" w:lineRule="exact"/>
        <w:ind w:firstLine="640" w:firstLineChars="200"/>
        <w:jc w:val="both"/>
        <w:textAlignment w:val="auto"/>
        <w:rPr>
          <w:rFonts w:hint="default" w:ascii="Times New Roman" w:hAnsi="Times New Roman" w:eastAsia="黑体" w:cs="Times New Roman"/>
          <w:kern w:val="2"/>
          <w:sz w:val="32"/>
          <w:szCs w:val="32"/>
          <w:highlight w:val="none"/>
          <w:lang w:val="en-US" w:eastAsia="zh-CN" w:bidi="ar-SA"/>
        </w:rPr>
      </w:pPr>
      <w:r>
        <w:rPr>
          <w:rFonts w:hint="default" w:ascii="Times New Roman" w:hAnsi="Times New Roman" w:eastAsia="黑体" w:cs="Times New Roman"/>
          <w:kern w:val="2"/>
          <w:sz w:val="32"/>
          <w:szCs w:val="32"/>
          <w:highlight w:val="none"/>
          <w:lang w:val="en-US" w:eastAsia="zh-CN" w:bidi="ar-SA"/>
        </w:rPr>
        <w:t>四、其他要求</w:t>
      </w:r>
    </w:p>
    <w:p>
      <w:pPr>
        <w:keepNext w:val="0"/>
        <w:keepLines w:val="0"/>
        <w:pageBreakBefore w:val="0"/>
        <w:widowControl w:val="0"/>
        <w:kinsoku/>
        <w:wordWrap/>
        <w:overflowPunct w:val="0"/>
        <w:topLinePunct w:val="0"/>
        <w:autoSpaceDE/>
        <w:autoSpaceDN/>
        <w:bidi w:val="0"/>
        <w:adjustRightInd/>
        <w:snapToGrid w:val="0"/>
        <w:spacing w:line="560" w:lineRule="exact"/>
        <w:ind w:firstLine="640" w:firstLineChars="200"/>
        <w:jc w:val="both"/>
        <w:textAlignment w:val="auto"/>
        <w:rPr>
          <w:rFonts w:hint="default" w:ascii="Times New Roman" w:hAnsi="Times New Roman" w:eastAsia="仿宋_GB2312" w:cs="Times New Roman"/>
          <w:kern w:val="2"/>
          <w:sz w:val="32"/>
          <w:szCs w:val="32"/>
          <w:highlight w:val="none"/>
          <w:lang w:val="en-US" w:eastAsia="zh-CN" w:bidi="ar-SA"/>
        </w:rPr>
      </w:pPr>
      <w:r>
        <w:rPr>
          <w:rFonts w:hint="default" w:ascii="Times New Roman" w:hAnsi="Times New Roman" w:eastAsia="仿宋_GB2312" w:cs="Times New Roman"/>
          <w:kern w:val="2"/>
          <w:sz w:val="32"/>
          <w:szCs w:val="32"/>
          <w:highlight w:val="none"/>
          <w:lang w:val="en-US" w:eastAsia="zh-CN" w:bidi="ar-SA"/>
        </w:rPr>
        <w:t>（一）室外墙面砖及建筑物总高度施工完成面不得超出宅基地用地范围。宅基地用地范围以外为公共空间，任何人不得私自围蔽圈占。</w:t>
      </w:r>
    </w:p>
    <w:p>
      <w:pPr>
        <w:keepNext w:val="0"/>
        <w:keepLines w:val="0"/>
        <w:pageBreakBefore w:val="0"/>
        <w:widowControl w:val="0"/>
        <w:kinsoku/>
        <w:wordWrap/>
        <w:overflowPunct w:val="0"/>
        <w:topLinePunct w:val="0"/>
        <w:autoSpaceDE/>
        <w:autoSpaceDN/>
        <w:bidi w:val="0"/>
        <w:adjustRightInd/>
        <w:snapToGrid w:val="0"/>
        <w:spacing w:line="560" w:lineRule="exact"/>
        <w:ind w:firstLine="640" w:firstLineChars="200"/>
        <w:jc w:val="both"/>
        <w:textAlignment w:val="auto"/>
        <w:rPr>
          <w:rFonts w:hint="default" w:ascii="Times New Roman" w:hAnsi="Times New Roman" w:eastAsia="仿宋_GB2312" w:cs="Times New Roman"/>
          <w:kern w:val="2"/>
          <w:sz w:val="32"/>
          <w:szCs w:val="32"/>
          <w:highlight w:val="none"/>
          <w:lang w:val="en-US" w:eastAsia="zh-CN" w:bidi="ar-SA"/>
        </w:rPr>
      </w:pPr>
      <w:r>
        <w:rPr>
          <w:rFonts w:hint="default" w:ascii="Times New Roman" w:hAnsi="Times New Roman" w:eastAsia="仿宋_GB2312" w:cs="Times New Roman"/>
          <w:kern w:val="2"/>
          <w:sz w:val="32"/>
          <w:szCs w:val="32"/>
          <w:highlight w:val="none"/>
          <w:lang w:val="en-US" w:eastAsia="zh-CN" w:bidi="ar-SA"/>
        </w:rPr>
        <w:t>（二）建筑功能、布局、材料等应严格按照《农村防火规范》GB50039、《建筑设计防火规范》GB50016等相关法律、规范、标准落实防火设计要求，采取必要的技术措施和方法预防建筑火灾和减少火灾危害。非公寓式住宅次要朝向外墙应当为防火墙。</w:t>
      </w:r>
    </w:p>
    <w:p>
      <w:pPr>
        <w:keepNext w:val="0"/>
        <w:keepLines w:val="0"/>
        <w:pageBreakBefore w:val="0"/>
        <w:widowControl w:val="0"/>
        <w:kinsoku/>
        <w:wordWrap/>
        <w:overflowPunct w:val="0"/>
        <w:topLinePunct w:val="0"/>
        <w:autoSpaceDE/>
        <w:autoSpaceDN/>
        <w:bidi w:val="0"/>
        <w:adjustRightInd/>
        <w:snapToGrid w:val="0"/>
        <w:spacing w:line="560" w:lineRule="exact"/>
        <w:ind w:firstLine="640" w:firstLineChars="200"/>
        <w:jc w:val="both"/>
        <w:textAlignment w:val="auto"/>
        <w:rPr>
          <w:rFonts w:hint="default" w:ascii="Times New Roman" w:hAnsi="Times New Roman" w:eastAsia="仿宋_GB2312" w:cs="Times New Roman"/>
          <w:kern w:val="2"/>
          <w:sz w:val="32"/>
          <w:szCs w:val="32"/>
          <w:highlight w:val="none"/>
          <w:lang w:val="en-US" w:eastAsia="zh-CN" w:bidi="ar-SA"/>
        </w:rPr>
      </w:pPr>
      <w:r>
        <w:rPr>
          <w:rFonts w:hint="default" w:ascii="Times New Roman" w:hAnsi="Times New Roman" w:eastAsia="仿宋_GB2312" w:cs="Times New Roman"/>
          <w:kern w:val="2"/>
          <w:sz w:val="32"/>
          <w:szCs w:val="32"/>
          <w:highlight w:val="none"/>
          <w:lang w:val="en-US" w:eastAsia="zh-CN" w:bidi="ar-SA"/>
        </w:rPr>
        <w:t>（三）天面层如设计成人员可进入，则应设置护栏，其中通透式护栏不计算建筑高度。护栏设置应符合《民用建筑设计统一标准》GB50352的相关规定，高度不低于1.2米。</w:t>
      </w:r>
    </w:p>
    <w:p>
      <w:pPr>
        <w:keepNext w:val="0"/>
        <w:keepLines w:val="0"/>
        <w:pageBreakBefore w:val="0"/>
        <w:widowControl w:val="0"/>
        <w:kinsoku/>
        <w:wordWrap/>
        <w:overflowPunct w:val="0"/>
        <w:topLinePunct w:val="0"/>
        <w:autoSpaceDE/>
        <w:autoSpaceDN/>
        <w:bidi w:val="0"/>
        <w:adjustRightInd/>
        <w:snapToGrid w:val="0"/>
        <w:spacing w:line="560" w:lineRule="exact"/>
        <w:ind w:firstLine="640" w:firstLineChars="200"/>
        <w:jc w:val="both"/>
        <w:textAlignment w:val="auto"/>
        <w:rPr>
          <w:rFonts w:hint="default" w:ascii="Times New Roman" w:hAnsi="Times New Roman" w:eastAsia="仿宋_GB2312" w:cs="Times New Roman"/>
          <w:kern w:val="2"/>
          <w:sz w:val="32"/>
          <w:szCs w:val="32"/>
          <w:highlight w:val="none"/>
          <w:lang w:val="en-US" w:eastAsia="zh-CN" w:bidi="ar-SA"/>
        </w:rPr>
      </w:pPr>
      <w:r>
        <w:rPr>
          <w:rFonts w:hint="default" w:ascii="Times New Roman" w:hAnsi="Times New Roman" w:eastAsia="仿宋_GB2312" w:cs="Times New Roman"/>
          <w:kern w:val="2"/>
          <w:sz w:val="32"/>
          <w:szCs w:val="32"/>
          <w:highlight w:val="none"/>
          <w:lang w:val="en-US" w:eastAsia="zh-CN" w:bidi="ar-SA"/>
        </w:rPr>
        <w:t>（四）新规划村民住宅区应规划设置组团道路，临城市道路的住宅退让道路边线应当符合《广州市城乡规划技术规定》第三十七条的要求。</w:t>
      </w:r>
    </w:p>
    <w:p>
      <w:pPr>
        <w:keepNext w:val="0"/>
        <w:keepLines w:val="0"/>
        <w:pageBreakBefore w:val="0"/>
        <w:widowControl w:val="0"/>
        <w:kinsoku/>
        <w:wordWrap/>
        <w:overflowPunct w:val="0"/>
        <w:topLinePunct w:val="0"/>
        <w:autoSpaceDE/>
        <w:autoSpaceDN/>
        <w:bidi w:val="0"/>
        <w:adjustRightInd/>
        <w:snapToGrid w:val="0"/>
        <w:spacing w:line="560" w:lineRule="exact"/>
        <w:ind w:firstLine="640" w:firstLineChars="200"/>
        <w:jc w:val="both"/>
        <w:textAlignment w:val="auto"/>
        <w:rPr>
          <w:rFonts w:hint="default" w:ascii="Times New Roman" w:hAnsi="Times New Roman" w:eastAsia="仿宋_GB2312" w:cs="Times New Roman"/>
          <w:kern w:val="2"/>
          <w:sz w:val="32"/>
          <w:szCs w:val="32"/>
          <w:highlight w:val="none"/>
          <w:lang w:val="en-US" w:eastAsia="zh-CN" w:bidi="ar-SA"/>
        </w:rPr>
      </w:pPr>
      <w:r>
        <w:rPr>
          <w:rFonts w:hint="default" w:ascii="Times New Roman" w:hAnsi="Times New Roman" w:eastAsia="仿宋_GB2312" w:cs="Times New Roman"/>
          <w:kern w:val="2"/>
          <w:sz w:val="32"/>
          <w:szCs w:val="32"/>
          <w:highlight w:val="none"/>
          <w:lang w:val="en-US" w:eastAsia="zh-CN" w:bidi="ar-SA"/>
        </w:rPr>
        <w:t>（五）村民建设住宅不得妨碍相邻建筑物的通风、采光和日照，不得骑压和影响相邻建筑基础，不得危害相邻建筑的正常使用和安全。村民住宅业权人因铺设电线、电缆、水管、煤气管等管线有必要利用相邻土地、建筑物的，应与相邻业权人友好协商。涉及他人利益的，申请人应提供利害关系人书面意见。</w:t>
      </w:r>
    </w:p>
    <w:p>
      <w:pPr>
        <w:keepNext w:val="0"/>
        <w:keepLines w:val="0"/>
        <w:pageBreakBefore w:val="0"/>
        <w:widowControl w:val="0"/>
        <w:kinsoku/>
        <w:wordWrap/>
        <w:overflowPunct w:val="0"/>
        <w:topLinePunct w:val="0"/>
        <w:autoSpaceDE/>
        <w:autoSpaceDN/>
        <w:bidi w:val="0"/>
        <w:adjustRightInd/>
        <w:snapToGrid w:val="0"/>
        <w:spacing w:line="560" w:lineRule="exact"/>
        <w:ind w:firstLine="640" w:firstLineChars="200"/>
        <w:jc w:val="both"/>
        <w:textAlignment w:val="auto"/>
        <w:rPr>
          <w:rFonts w:hint="default" w:ascii="Times New Roman" w:hAnsi="Times New Roman" w:cs="Times New Roman"/>
          <w:sz w:val="32"/>
          <w:szCs w:val="32"/>
          <w:highlight w:val="none"/>
        </w:rPr>
      </w:pPr>
      <w:r>
        <w:rPr>
          <w:rFonts w:hint="default" w:ascii="Times New Roman" w:hAnsi="Times New Roman" w:eastAsia="仿宋_GB2312" w:cs="Times New Roman"/>
          <w:kern w:val="2"/>
          <w:sz w:val="32"/>
          <w:szCs w:val="32"/>
          <w:highlight w:val="none"/>
          <w:lang w:val="en-US" w:eastAsia="zh-CN" w:bidi="ar-SA"/>
        </w:rPr>
        <w:t>（六）鼓励建筑风格选用或参照住房城乡建设主管部门发布的乡村民居设计图集等图库中的设计方案，塑造岭南特色民居风貌。</w:t>
      </w:r>
    </w:p>
    <w:p/>
    <w:sectPr>
      <w:pgSz w:w="11906" w:h="16838"/>
      <w:pgMar w:top="2098" w:right="1474" w:bottom="1984"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auto"/>
    <w:pitch w:val="default"/>
    <w:sig w:usb0="00000001" w:usb1="080E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8FB0CDE"/>
    <w:rsid w:val="290761CA"/>
    <w:rsid w:val="68FB0CD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uiPriority w:val="0"/>
    <w:pPr>
      <w:widowControl w:val="0"/>
      <w:jc w:val="both"/>
    </w:pPr>
    <w:rPr>
      <w:rFonts w:ascii="Times New Roman" w:hAnsi="Times New Roman" w:eastAsia="仿宋_GB2312" w:cs="Times New Roman"/>
      <w:kern w:val="2"/>
      <w:sz w:val="32"/>
      <w:szCs w:val="24"/>
      <w:lang w:val="en-US" w:eastAsia="zh-CN" w:bidi="ar-SA"/>
    </w:rPr>
  </w:style>
  <w:style w:type="character" w:default="1" w:styleId="5">
    <w:name w:val="Default Paragraph Font"/>
    <w:semiHidden/>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Normal Indent"/>
    <w:basedOn w:val="1"/>
    <w:qFormat/>
    <w:uiPriority w:val="0"/>
    <w:pPr>
      <w:ind w:firstLine="420" w:firstLineChars="200"/>
    </w:pPr>
  </w:style>
  <w:style w:type="paragraph" w:styleId="3">
    <w:name w:val="footer"/>
    <w:basedOn w:val="1"/>
    <w:qFormat/>
    <w:uiPriority w:val="0"/>
    <w:pPr>
      <w:tabs>
        <w:tab w:val="center" w:pos="4153"/>
        <w:tab w:val="right" w:pos="8306"/>
      </w:tabs>
      <w:snapToGrid w:val="0"/>
      <w:jc w:val="left"/>
    </w:pPr>
    <w:rPr>
      <w:sz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区政务服务数据管理局</Company>
  <Pages>1</Pages>
  <Words>0</Words>
  <Characters>0</Characters>
  <Lines>0</Lines>
  <Paragraphs>0</Paragraphs>
  <TotalTime>1</TotalTime>
  <ScaleCrop>false</ScaleCrop>
  <LinksUpToDate>false</LinksUpToDate>
  <CharactersWithSpaces>0</CharactersWithSpaces>
  <Application>WPS Office_11.8.2.11718_F1E327BC-269C-435d-A152-05C5408002CA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2023-07-06T03:03:00Z</dcterms:created>
  <dc:creator>周璐瑜</dc:creator>
  <cp:lastModifiedBy>周璐瑜</cp:lastModifiedBy>
  <dcterms:modified xsi:type="dcterms:W3CDTF">2023-07-06T03:17:24Z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2052-11.8.2.11718</vt:lpwstr>
  </property>
  <property fmtid="{D5CDD505-2E9C-101B-9397-08002B2CF9AE}" pid="3" name="ICV">
    <vt:lpwstr>A1BF7E975B454837B40BC1BC2993B4DE</vt:lpwstr>
  </property>
</Properties>
</file>